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利通区2025年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老旧小区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方正楷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以习近平新时代中国特色社会主义思想为指导，深入贯彻落实党的二十大精神和习近平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总书记视察宁夏重要讲话指示批示精神，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践行以人民为中心的发展理念，以提升居民生活品质为出发点和落脚点，结合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城市更新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城乡绿色发展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，重点解决城区范围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设施不完善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、年久失修、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管理机制不健全等问题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发展改革委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城市地下管网和地下综合管廊改造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》及区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政府工作部署，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结合我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实际，特制定本实施方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明确主体，落实责任。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级筹划指导、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统筹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、居民自治参与”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的体制机制，相关部门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负责制定改造方案，科学组织实施。乡镇积极组织居民参与，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充分尊重居民意愿，凝聚居民共识。各相关部门及管线单位根据职能职责积极配合老旧小区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改造提升工作。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（二）因地制宜，分类实施。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按照“保基础、增设施、拓空间、促提升”要求，坚持“整体设计先行”，做到“一小区一方案”，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以居民受益、群众满意为目标，以综合提升居住功能、解决群众急难问题为重点，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确保居住小区的基础功能，努力拓展公共空间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和配套服务功能。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（三）注重长效，治管并举。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建立健全社区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业主委员会、物业服务企业三方联动机制，引导居民合理选择自治管理或物业管理，推进小区后续管理专业化、常态化，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构建“一次改造、长期保持”的长效管理机制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让群众住得更加舒适，生活更加幸福。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、改造内容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老旧小区配套设施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公共服务设施等内容。实施改造过程中应结合实际，科学合理选择改造项目，确定改造标准。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（一）小区配套基础设施。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小区内的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供排水、供电、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供暖、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供气、弱电管线、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铺装硬化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无障碍设施、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消防、安防、路灯、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文体设施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、绿化等改造项目。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（二）公共服务设施。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具备条件的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幼教、康养、老年活动中心、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物业用房、共享图书室等公共服务设施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三、改造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年完成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何氏综合楼、左营小区等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老旧小区配套基础设施，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涉及金星镇、胜利镇、古城、上桥镇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220栋楼95.3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万平方米改造任务，直接受益群众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9025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45个老旧小区配套基础设施改造工程估算投资为1.4534亿元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来源如下：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（一）中央专项补助资金。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老旧小区配套基础设施改造资金主要申请中央预算内补助资金，按照投资总额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%补助计算，补助资金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1.0174亿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（二）地方财政配套资金。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区财政负责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筹措地方配套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4360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（三）管线单位出资。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坚持“谁受益、谁出资”原则，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各管线单位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根据职能积极承担管线改造资金。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（四）居民出资。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按照“谁受益、谁出资”原则，鼓励居民出资参与老旧小区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改造。来源可包括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捐资、小区内公共停车和广告等收益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，依法经业主委员会或居民自治小组同意，可用于小区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改造后的长效管理。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（五）原产权单位出资。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鼓励原产权单位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含行政企事业单位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捐资捐物，共同参与改造工作。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（六）社会化力量投资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。建立商业运作模式，鼓励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医疗卫生、智能停车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、充电桩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、社会资本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、幼教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、超市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)投资改造老旧小区配套基础设施，建成后的医疗卫生、养老、幼教等由其管理运营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（一）摸底调查阶段(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2024年10月)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全面摸清底子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，区住建和交通局联合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配基础设施进行详细、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摸底调查，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调查小区的数量、面积、户数、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建成年代、需改造内容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等。乡镇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积极组织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相关工作人员深入老旧小区开展广泛宣传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及征求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居民改造意愿。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（二）确定小区阶段(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区住建和交通局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现状条件、居民意愿、资金筹集、初步改造方案可行性等方面，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征求发改、财政、生态环境、教育、民政、公安、自然资源局以及管线单位等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结合小区实际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财政承受能力，制定初步改造方案，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报区政府研究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，区分轻重缓急，统筹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（三）准备工作阶段(20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月)。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由区住房城乡建设和交通局、发改局按照自治区住建厅、发改委的投资意向，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老旧小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改造工作方案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和项目申报文本，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申报争取项目补助资金。积极抓好项目招投标等前期工作。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（四）全面改造阶段(20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月)。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月份启动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月底前竣工的目标，具体组织实施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改造工程。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乡镇以及社区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在工程正式开工前先行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治理私搭乱建、清理绿地和楼间杂物等工作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（五）竣工验收阶段(20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月)。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由区住房城乡建设和交通局牵头，区直相关部门、工程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承包单位、监理公司、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金星镇、胜利镇、上桥镇、古城镇以及管线单位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等联合进行验收。对验收合格的小区，同步移交属地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，纳入社区管理。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（六）长效管理阶段(20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月)。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指导成立、完善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业主委员会，依法选聘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服务企业。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小区业主委员会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和物业服务企业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按照长效管理方案，落实管理和服务，做到“改造一个、管好一个”。加强宣传指导，完善物业专项维修资金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并形成长期机制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改造工作领导小组，由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政府主要领导担任组长，区政府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分管领导担任副组长，区直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相关单位主要负责人为成员，负责统筹、协调、督查、考核等工作。领导小组下设办公室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区住房城乡建设和交通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，办公室主任由住房城乡建设和交通局局长兼任，负责统筹推进老旧小区配套基础设施改造工作，完成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交办的其他工作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（二）明确职责分工。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发改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改造项目的立项审批等工作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参与年度改造计划编制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自治区发改委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补助资金。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负责落实和拨付中央、自治区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；负责筹措老旧小区配套基础设施改造工程地方配套资金。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住建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和交通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负责牵头制定老旧小区配套基础设施改造计划，编制项目申报文本，争取中央、自治区项目补助资金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负责项目督查、考核、验收工作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负责领导小组办公室的日常工作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改造相关管线迁改工作的技术指导，督促弱电管线单位落实老旧小区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改造管线迁改责任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督促燃气单位做好供气等改造工作。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局利通分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加强对老旧小区治安、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等方面的技术指导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，负责实施老旧小区技防工程及日常运行维护工作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负责指导、验收各小区绿化补植工程，并提供苗木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金星镇、胜利镇、古城镇、上桥镇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负责发动群众参与和化解矛盾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确保改造工程顺利实施，参与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制定辖区老旧小区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改造计划、实施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；负责老旧小区绿化补植工作，确保成活率；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推动老旧小区业委会组建，建立健全长效管理机制。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供电、供水、燃气、电信、移动、联通等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市属单位和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配套基础设施改造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加强宣传引导，乡镇以及社区工作人员要积极宣传，运用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新闻媒体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、小区公示栏、横幅等途径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大力宣传老旧小区配套基础设施改造工作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引导居民积极配合参与改造工作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；加强部门乡长协调联动，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建立工作例会、信息报送、定期通报、巡查督查等制度，及时研究、协调解决有关重大事项和问题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，确保项目顺利推进并取得良好成效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；主动接受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各级人大代表、政协委员、社会各界群众，监督检查老旧小区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配套基础设施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，对提出的问题，结合实际情况，积极有效改进；区委督查室、政府督查室牵头对老旧小区配套基础设施施工全过程进行督查，严把施工节点和工程质量，确保按时序推进，保质保量完成。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附件：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2025年老旧小区配套基础设施改造计划任务表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3944"/>
    <w:rsid w:val="01EE5E5A"/>
    <w:rsid w:val="05FB4353"/>
    <w:rsid w:val="09961368"/>
    <w:rsid w:val="0E286250"/>
    <w:rsid w:val="0EAE3063"/>
    <w:rsid w:val="0EE20AF5"/>
    <w:rsid w:val="11883E00"/>
    <w:rsid w:val="120B0362"/>
    <w:rsid w:val="1B2E00D4"/>
    <w:rsid w:val="2492221D"/>
    <w:rsid w:val="249C5536"/>
    <w:rsid w:val="26282E39"/>
    <w:rsid w:val="2DAF5BEE"/>
    <w:rsid w:val="33A41979"/>
    <w:rsid w:val="36565000"/>
    <w:rsid w:val="3B9D189B"/>
    <w:rsid w:val="3EB244AA"/>
    <w:rsid w:val="3F291C31"/>
    <w:rsid w:val="3FCE63A8"/>
    <w:rsid w:val="40087BF7"/>
    <w:rsid w:val="44477436"/>
    <w:rsid w:val="4EFA0F67"/>
    <w:rsid w:val="535A40DB"/>
    <w:rsid w:val="5761173E"/>
    <w:rsid w:val="5B2C1B57"/>
    <w:rsid w:val="5D9E51B4"/>
    <w:rsid w:val="5EFE87C0"/>
    <w:rsid w:val="685A2DC5"/>
    <w:rsid w:val="692A3D9F"/>
    <w:rsid w:val="6D5C5C27"/>
    <w:rsid w:val="6E355DFE"/>
    <w:rsid w:val="714E0847"/>
    <w:rsid w:val="741C69DA"/>
    <w:rsid w:val="754C5491"/>
    <w:rsid w:val="75A55455"/>
    <w:rsid w:val="777A4144"/>
    <w:rsid w:val="7B0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2"/>
    <w:basedOn w:val="1"/>
    <w:qFormat/>
    <w:uiPriority w:val="0"/>
    <w:pPr>
      <w:tabs>
        <w:tab w:val="left" w:pos="640"/>
      </w:tabs>
      <w:ind w:firstLine="200" w:firstLineChars="200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2941</Words>
  <Characters>3005</Characters>
  <Lines>0</Lines>
  <Paragraphs>0</Paragraphs>
  <TotalTime>5</TotalTime>
  <ScaleCrop>false</ScaleCrop>
  <LinksUpToDate>false</LinksUpToDate>
  <CharactersWithSpaces>3009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2024-12-20T15:33:00Z</dcterms:created>
  <dc:creator>Administrator</dc:creator>
  <cp:lastModifiedBy>ltq</cp:lastModifiedBy>
  <cp:lastPrinted>2024-12-30T16:35:00Z</cp:lastPrinted>
  <dcterms:modified xsi:type="dcterms:W3CDTF">2025-01-03T15:10:34Z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EE5C04E3B1E94A8DBB8B26245E41D9E3_12</vt:lpwstr>
  </property>
  <property fmtid="{D5CDD505-2E9C-101B-9397-08002B2CF9AE}" pid="4" name="KSOTemplateDocerSaveRecord">
    <vt:lpwstr>eyJoZGlkIjoiODJhMTNhMDE4NzhjNThjYTY3MWVjMDM4NTk0NmZkOTQiLCJ1c2VySWQiOiI2MTUzMzc1NzAifQ==</vt:lpwstr>
  </property>
</Properties>
</file>