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sz w:val="44"/>
          <w:szCs w:val="44"/>
        </w:rPr>
      </w:pPr>
      <w:bookmarkStart w:id="0" w:name="_GoBack"/>
      <w:bookmarkEnd w:id="0"/>
      <w:r>
        <w:rPr>
          <w:rFonts w:hint="eastAsia" w:ascii="方正小标宋简体" w:hAnsi="方正小标宋简体" w:eastAsia="方正小标宋简体" w:cs="方正小标宋简体"/>
          <w:b w:val="0"/>
          <w:bCs/>
          <w:sz w:val="44"/>
          <w:szCs w:val="44"/>
          <w:lang w:val="en-US" w:eastAsia="zh-CN"/>
        </w:rPr>
        <w:t>利通区商务和投资促进局</w:t>
      </w:r>
      <w:r>
        <w:rPr>
          <w:rFonts w:hint="eastAsia" w:ascii="方正小标宋简体" w:hAnsi="方正小标宋简体" w:eastAsia="方正小标宋简体" w:cs="方正小标宋简体"/>
          <w:b w:val="0"/>
          <w:bCs/>
          <w:sz w:val="44"/>
          <w:szCs w:val="44"/>
        </w:rPr>
        <w:t>行政执法主体资格清单</w:t>
      </w:r>
    </w:p>
    <w:p>
      <w:pPr>
        <w:spacing w:line="240" w:lineRule="exact"/>
        <w:rPr>
          <w:rFonts w:ascii="仿宋_GB2312" w:hAnsi="黑体" w:eastAsia="仿宋_GB2312"/>
          <w:b/>
          <w:sz w:val="32"/>
          <w:szCs w:val="32"/>
        </w:rPr>
      </w:pPr>
    </w:p>
    <w:tbl>
      <w:tblPr>
        <w:tblStyle w:val="8"/>
        <w:tblpPr w:leftFromText="180" w:rightFromText="180" w:vertAnchor="text" w:horzAnchor="page" w:tblpX="1148" w:tblpY="174"/>
        <w:tblOverlap w:val="never"/>
        <w:tblW w:w="14787" w:type="dxa"/>
        <w:tblInd w:w="0" w:type="dxa"/>
        <w:shd w:val="clear" w:color="auto" w:fill="FFFFFF"/>
        <w:tblLayout w:type="fixed"/>
        <w:tblCellMar>
          <w:top w:w="15" w:type="dxa"/>
          <w:left w:w="15" w:type="dxa"/>
          <w:bottom w:w="15" w:type="dxa"/>
          <w:right w:w="15" w:type="dxa"/>
        </w:tblCellMar>
      </w:tblPr>
      <w:tblGrid>
        <w:gridCol w:w="1887"/>
        <w:gridCol w:w="1432"/>
        <w:gridCol w:w="2413"/>
        <w:gridCol w:w="1309"/>
        <w:gridCol w:w="2373"/>
        <w:gridCol w:w="1473"/>
        <w:gridCol w:w="2236"/>
        <w:gridCol w:w="1664"/>
      </w:tblGrid>
      <w:tr>
        <w:tblPrEx>
          <w:tblCellMar>
            <w:top w:w="15" w:type="dxa"/>
            <w:left w:w="15" w:type="dxa"/>
            <w:bottom w:w="15" w:type="dxa"/>
            <w:right w:w="15" w:type="dxa"/>
          </w:tblCellMar>
        </w:tblPrEx>
        <w:trPr>
          <w:trHeight w:val="1366" w:hRule="atLeast"/>
        </w:trPr>
        <w:tc>
          <w:tcPr>
            <w:tcW w:w="1887"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机构名称</w:t>
            </w:r>
          </w:p>
        </w:tc>
        <w:tc>
          <w:tcPr>
            <w:tcW w:w="1432"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机构性质</w:t>
            </w:r>
          </w:p>
        </w:tc>
        <w:tc>
          <w:tcPr>
            <w:tcW w:w="241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执法队伍</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编制状况</w:t>
            </w:r>
          </w:p>
        </w:tc>
        <w:tc>
          <w:tcPr>
            <w:tcW w:w="1309"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主体类别</w:t>
            </w:r>
          </w:p>
        </w:tc>
        <w:tc>
          <w:tcPr>
            <w:tcW w:w="237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执法职责</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和权限</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法定代表人</w:t>
            </w:r>
          </w:p>
        </w:tc>
        <w:tc>
          <w:tcPr>
            <w:tcW w:w="2236"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单位地址</w:t>
            </w:r>
          </w:p>
        </w:tc>
        <w:tc>
          <w:tcPr>
            <w:tcW w:w="1664"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投诉举报电话</w:t>
            </w:r>
          </w:p>
        </w:tc>
      </w:tr>
      <w:tr>
        <w:tblPrEx>
          <w:tblCellMar>
            <w:top w:w="15" w:type="dxa"/>
            <w:left w:w="15" w:type="dxa"/>
            <w:bottom w:w="15" w:type="dxa"/>
            <w:right w:w="15" w:type="dxa"/>
          </w:tblCellMar>
        </w:tblPrEx>
        <w:trPr>
          <w:trHeight w:val="3783" w:hRule="atLeast"/>
        </w:trPr>
        <w:tc>
          <w:tcPr>
            <w:tcW w:w="1887"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sz w:val="24"/>
                <w:szCs w:val="24"/>
                <w:lang w:eastAsia="zh-CN"/>
              </w:rPr>
            </w:pPr>
            <w:r>
              <w:rPr>
                <w:rFonts w:hint="eastAsia"/>
                <w:sz w:val="24"/>
                <w:szCs w:val="24"/>
                <w:lang w:eastAsia="zh-CN"/>
              </w:rPr>
              <w:t>吴忠市利通区</w:t>
            </w:r>
          </w:p>
          <w:p>
            <w:pPr>
              <w:pStyle w:val="5"/>
              <w:jc w:val="center"/>
              <w:rPr>
                <w:rFonts w:hint="default"/>
                <w:sz w:val="24"/>
                <w:szCs w:val="24"/>
                <w:lang w:val="en-US"/>
              </w:rPr>
            </w:pPr>
            <w:r>
              <w:rPr>
                <w:rFonts w:hint="eastAsia" w:ascii="仿宋_GB2312"/>
                <w:sz w:val="24"/>
                <w:szCs w:val="24"/>
                <w:lang w:val="en-US" w:eastAsia="zh-CN"/>
              </w:rPr>
              <w:t>商务和投资促进局</w:t>
            </w:r>
          </w:p>
        </w:tc>
        <w:tc>
          <w:tcPr>
            <w:tcW w:w="1432"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eastAsia" w:ascii="仿宋_GB2312" w:eastAsia="仿宋_GB2312"/>
                <w:sz w:val="24"/>
                <w:szCs w:val="24"/>
                <w:lang w:eastAsia="zh-CN"/>
              </w:rPr>
            </w:pPr>
            <w:r>
              <w:rPr>
                <w:rFonts w:hint="eastAsia" w:ascii="仿宋_GB2312"/>
                <w:sz w:val="24"/>
                <w:szCs w:val="24"/>
                <w:lang w:eastAsia="zh-CN"/>
              </w:rPr>
              <w:t>行政机关</w:t>
            </w:r>
          </w:p>
        </w:tc>
        <w:tc>
          <w:tcPr>
            <w:tcW w:w="241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_GB2312" w:eastAsia="仿宋_GB2312"/>
                <w:color w:val="FFFFFF"/>
                <w:sz w:val="24"/>
                <w:szCs w:val="24"/>
                <w:lang w:val="en-US" w:eastAsia="zh-CN"/>
              </w:rPr>
            </w:pPr>
            <w:r>
              <w:rPr>
                <w:rFonts w:hint="eastAsia" w:ascii="仿宋_GB2312"/>
                <w:sz w:val="24"/>
                <w:szCs w:val="24"/>
                <w:highlight w:val="none"/>
                <w:lang w:val="en-US" w:eastAsia="zh-CN"/>
              </w:rPr>
              <w:t>共有编制人员10人，其中行政编制5人，事业编制5人。</w:t>
            </w:r>
          </w:p>
        </w:tc>
        <w:tc>
          <w:tcPr>
            <w:tcW w:w="1309"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eastAsia" w:ascii="仿宋_GB2312" w:eastAsia="仿宋_GB2312"/>
                <w:sz w:val="24"/>
                <w:szCs w:val="24"/>
                <w:lang w:eastAsia="zh-CN"/>
              </w:rPr>
            </w:pPr>
            <w:r>
              <w:rPr>
                <w:rFonts w:hint="eastAsia" w:ascii="仿宋_GB2312"/>
                <w:sz w:val="24"/>
                <w:szCs w:val="24"/>
                <w:lang w:eastAsia="zh-CN"/>
              </w:rPr>
              <w:t>行政机关</w:t>
            </w:r>
          </w:p>
        </w:tc>
        <w:tc>
          <w:tcPr>
            <w:tcW w:w="237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eastAsia="黑体"/>
                <w:sz w:val="24"/>
                <w:szCs w:val="24"/>
                <w:lang w:eastAsia="zh-CN"/>
              </w:rPr>
            </w:pPr>
            <w:r>
              <w:rPr>
                <w:rFonts w:hint="eastAsia" w:ascii="仿宋_GB2312"/>
                <w:sz w:val="24"/>
                <w:szCs w:val="24"/>
                <w:lang w:val="en-US" w:eastAsia="zh-CN"/>
              </w:rPr>
              <w:t xml:space="preserve"> </w:t>
            </w:r>
            <w:r>
              <w:rPr>
                <w:rFonts w:hint="eastAsia" w:ascii="仿宋_GB2312"/>
                <w:sz w:val="24"/>
                <w:szCs w:val="24"/>
                <w:lang w:eastAsia="zh-CN"/>
              </w:rPr>
              <w:t>行政处罚、行政检查、行政备案、</w:t>
            </w:r>
            <w:r>
              <w:rPr>
                <w:rFonts w:hint="eastAsia" w:ascii="仿宋_GB2312"/>
                <w:sz w:val="24"/>
                <w:szCs w:val="24"/>
                <w:lang w:val="en-US" w:eastAsia="zh-CN"/>
              </w:rPr>
              <w:t>其他</w:t>
            </w:r>
          </w:p>
        </w:tc>
        <w:tc>
          <w:tcPr>
            <w:tcW w:w="147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default" w:ascii="仿宋_GB2312" w:eastAsia="仿宋_GB2312"/>
                <w:sz w:val="24"/>
                <w:szCs w:val="24"/>
                <w:lang w:val="en-US" w:eastAsia="zh-CN"/>
              </w:rPr>
            </w:pPr>
            <w:r>
              <w:rPr>
                <w:rFonts w:hint="eastAsia" w:ascii="仿宋_GB2312"/>
                <w:sz w:val="24"/>
                <w:szCs w:val="24"/>
                <w:lang w:val="en-US" w:eastAsia="zh-CN"/>
              </w:rPr>
              <w:t xml:space="preserve">马  伟 </w:t>
            </w:r>
          </w:p>
        </w:tc>
        <w:tc>
          <w:tcPr>
            <w:tcW w:w="2236"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pStyle w:val="7"/>
              <w:keepNext w:val="0"/>
              <w:keepLines w:val="0"/>
              <w:pageBreakBefore w:val="0"/>
              <w:widowControl/>
              <w:suppressLineNumbers w:val="0"/>
              <w:kinsoku/>
              <w:wordWrap/>
              <w:overflowPunct/>
              <w:topLinePunct w:val="0"/>
              <w:autoSpaceDE/>
              <w:autoSpaceDN/>
              <w:bidi w:val="0"/>
              <w:adjustRightInd/>
              <w:snapToGrid/>
              <w:spacing w:line="440" w:lineRule="atLeast"/>
              <w:jc w:val="center"/>
              <w:textAlignment w:val="auto"/>
              <w:rPr>
                <w:rFonts w:hint="eastAsia" w:ascii="仿宋_GB2312" w:hAnsi="Calibri" w:eastAsia="仿宋_GB2312" w:cs="Times New Roman"/>
                <w:kern w:val="2"/>
                <w:sz w:val="24"/>
                <w:szCs w:val="24"/>
                <w:lang w:val="en-US" w:eastAsia="zh-CN"/>
              </w:rPr>
            </w:pPr>
            <w:r>
              <w:rPr>
                <w:rFonts w:hint="eastAsia" w:ascii="仿宋_GB2312" w:hAnsi="Calibri" w:eastAsia="仿宋_GB2312" w:cs="Times New Roman"/>
                <w:kern w:val="2"/>
                <w:sz w:val="24"/>
                <w:szCs w:val="24"/>
                <w:lang w:val="en-US" w:eastAsia="zh-CN"/>
              </w:rPr>
              <w:t>吴忠市利通区城乡环境卫生管理中心2楼</w:t>
            </w:r>
          </w:p>
        </w:tc>
        <w:tc>
          <w:tcPr>
            <w:tcW w:w="1664"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0" w:type="dxa"/>
              <w:bottom w:w="0" w:type="dxa"/>
              <w:right w:w="0" w:type="dxa"/>
            </w:tcMar>
            <w:vAlign w:val="center"/>
          </w:tcPr>
          <w:p>
            <w:pPr>
              <w:jc w:val="center"/>
              <w:rPr>
                <w:rFonts w:hint="default" w:ascii="仿宋_GB2312" w:hAnsi="Calibri" w:eastAsia="仿宋_GB2312" w:cs="Times New Roman"/>
                <w:kern w:val="2"/>
                <w:sz w:val="24"/>
                <w:szCs w:val="24"/>
                <w:lang w:val="en-US" w:eastAsia="zh-CN"/>
              </w:rPr>
            </w:pPr>
            <w:r>
              <w:rPr>
                <w:rFonts w:hint="eastAsia" w:ascii="仿宋_GB2312" w:hAnsi="Calibri" w:eastAsia="仿宋_GB2312" w:cs="Times New Roman"/>
                <w:kern w:val="2"/>
                <w:sz w:val="24"/>
                <w:szCs w:val="24"/>
                <w:lang w:val="en-US" w:eastAsia="zh-CN"/>
              </w:rPr>
              <w:t>0953-</w:t>
            </w:r>
            <w:r>
              <w:rPr>
                <w:rFonts w:hint="eastAsia" w:ascii="仿宋_GB2312" w:eastAsia="仿宋_GB2312" w:cs="Times New Roman"/>
                <w:kern w:val="2"/>
                <w:sz w:val="24"/>
                <w:szCs w:val="24"/>
                <w:lang w:val="en-US" w:eastAsia="zh-CN"/>
              </w:rPr>
              <w:t>2905601</w:t>
            </w:r>
          </w:p>
        </w:tc>
      </w:tr>
    </w:tbl>
    <w:p>
      <w:pPr>
        <w:rPr>
          <w:rFonts w:hint="eastAsia"/>
          <w:lang w:val="en-US" w:eastAsia="zh-CN"/>
        </w:rPr>
      </w:pPr>
    </w:p>
    <w:p>
      <w:pPr>
        <w:pStyle w:val="2"/>
        <w:rPr>
          <w:rFonts w:hint="eastAsia"/>
          <w:lang w:val="en-US" w:eastAsia="zh-CN"/>
        </w:rPr>
      </w:pPr>
    </w:p>
    <w:p>
      <w:pPr>
        <w:rPr>
          <w:rFonts w:hint="eastAsia"/>
          <w:lang w:val="en-US" w:eastAsia="zh-CN"/>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1"/>
        <w:gridCol w:w="1616"/>
        <w:gridCol w:w="657"/>
        <w:gridCol w:w="724"/>
        <w:gridCol w:w="982"/>
        <w:gridCol w:w="9163"/>
        <w:gridCol w:w="4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000" w:type="pct"/>
            <w:gridSpan w:val="7"/>
            <w:tcBorders>
              <w:top w:val="nil"/>
              <w:left w:val="nil"/>
              <w:bottom w:val="single" w:color="auto" w:sz="4" w:space="0"/>
              <w:right w:val="nil"/>
            </w:tcBorders>
            <w:noWrap w:val="0"/>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eastAsia" w:ascii="方正小标宋_GBK" w:hAnsi="方正小标宋_GBK" w:eastAsia="方正小标宋_GBK" w:cs="方正小标宋_GBK"/>
                <w:i w:val="0"/>
                <w:iCs w:val="0"/>
                <w:color w:val="000000"/>
                <w:kern w:val="0"/>
                <w:sz w:val="36"/>
                <w:szCs w:val="36"/>
                <w:u w:val="none"/>
                <w:lang w:val="en-US" w:eastAsia="zh-CN" w:bidi="ar"/>
              </w:rPr>
              <w:t>利通区商务和投资促进局行政执法事项清单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序号</w:t>
            </w:r>
          </w:p>
        </w:tc>
        <w:tc>
          <w:tcPr>
            <w:tcW w:w="57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事项名称</w:t>
            </w:r>
          </w:p>
        </w:tc>
        <w:tc>
          <w:tcPr>
            <w:tcW w:w="23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执法类别</w:t>
            </w:r>
          </w:p>
        </w:tc>
        <w:tc>
          <w:tcPr>
            <w:tcW w:w="2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执法主体</w:t>
            </w:r>
          </w:p>
        </w:tc>
        <w:tc>
          <w:tcPr>
            <w:tcW w:w="3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承办内部机构</w:t>
            </w:r>
          </w:p>
        </w:tc>
        <w:tc>
          <w:tcPr>
            <w:tcW w:w="323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执法依据</w:t>
            </w:r>
          </w:p>
        </w:tc>
        <w:tc>
          <w:tcPr>
            <w:tcW w:w="17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7" w:hRule="atLeast"/>
        </w:trPr>
        <w:tc>
          <w:tcPr>
            <w:tcW w:w="1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发卡企业不按规定办理单用途卡备案的处罚</w:t>
            </w:r>
          </w:p>
        </w:tc>
        <w:tc>
          <w:tcPr>
            <w:tcW w:w="2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行政处罚</w:t>
            </w:r>
          </w:p>
        </w:tc>
        <w:tc>
          <w:tcPr>
            <w:tcW w:w="2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【部门规章】《单用途商业预付卡管理办法（试行）》（2016 修正）</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第七条发卡企业应在开展单用途卡业务之日起30 日内按照下列规定办理备案:</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（一） 集团发卡企业和品牌发卡企业向其工商登记注册地省、自治区、直辖市人民政府商务主管部门备案;</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（二） 规模发卡企业向其工商登记注册地设区的市人民政府商务主管部门备案;</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（三） 其他发卡企业向其工商登记注册地县（市、区） 人民政府商务主管部门备案。</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第三十六条 发卡企业违反本办法第七条规定的，由违法行为发生地县级以上地方人民政府商务主管部门责令限期改正；逾期仍不改正的，处以1 万元以上3 万元以下罚款。</w:t>
            </w:r>
          </w:p>
        </w:tc>
        <w:tc>
          <w:tcPr>
            <w:tcW w:w="173" w:type="pc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仿宋_GB2312"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5" w:hRule="atLeast"/>
        </w:trPr>
        <w:tc>
          <w:tcPr>
            <w:tcW w:w="19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FF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57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发卡企业或售卡企业未公示或未向购卡人提供单用途卡章程等行为的处罚</w:t>
            </w:r>
          </w:p>
        </w:tc>
        <w:tc>
          <w:tcPr>
            <w:tcW w:w="231"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行政处罚</w:t>
            </w:r>
          </w:p>
        </w:tc>
        <w:tc>
          <w:tcPr>
            <w:tcW w:w="25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46"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【部门规章】《单用途商业预付卡管理办法（试行）》（2016 年修正）</w:t>
            </w:r>
          </w:p>
          <w:p>
            <w:pPr>
              <w:keepNext w:val="0"/>
              <w:keepLines w:val="0"/>
              <w:widowControl/>
              <w:suppressLineNumbers w:val="0"/>
              <w:jc w:val="left"/>
              <w:textAlignment w:val="center"/>
              <w:rPr>
                <w:rFonts w:hint="eastAsia" w:ascii="仿宋_GB2312" w:hAnsi="仿宋_GB2312" w:eastAsia="仿宋_GB2312" w:cs="仿宋_GB2312"/>
                <w:i w:val="0"/>
                <w:iCs w:val="0"/>
                <w:color w:val="FF0000"/>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第三十七条第一款 发卡企业或售卡企业违反本办法第十四条至第二十二条规定的，由违法行为发生地县级以上地方人民政府商务主管部门责令限期改正；逾期仍不改正的，处以1 万元以上3 万元以下罚款。第十四条第一款 发卡企业或售卡企业应公示或向购卡人提供单用途卡章程，并应购卡人要求签订购卡协议。发卡企业或售卡企业应履行提示告知义务，确保购卡人知晓并认可单用途卡章程或协议内容。第十五条第一款 个人或单位购买（含充值，下同） 记名卡的，或一次性购买 1 万元（含） 以上不记名卡的，发卡企业或售卡企业应要求购卡人及其代理人出示有效身份证件并留存购卡人及其代理人姓名或单位名称、有效身份证件号码和联系方式。第十六条发卡企业和售卡企业应保存购卡人的登记信息5 年以上。发卡企业和售卡企业应对购卡人及其代理人的身份信息和交易信息保密，除法律另有规定外，不得向第三方提供。第十七条 单位一次性购买单用途卡金额达5000 元（含） 以上或个人一次性购卡金额达5 万元（含） 以上的，以及单位或个人采用非现场方式购卡的，应通过银行转账，不得使用现金，发卡企业或售卡企业应对转出、转入账户名称、账号、金额等进行逐笔登记。发卡企业和售卡企业应严格按照国家有关规定开具发票。第十八条单张记名卡限额不得超过5000 元，单张不记名卡限额不得超过1000 元。单张单用途卡充值后资金余额不得超过前款规定的限额。第十九条记名卡不得设有效期；不记名卡有效期不得少于3 年。发卡企业或售卡企业对超过有效期尚有资金余额的不记名卡应提供激活、换卡等配套服务。第二十条 使用单用途卡购买商品后需要退货的，发卡企业或受理企业应将资金退至原卡。原单用途卡不存在或退货后卡内资金余额超过单用途卡限额的，应退回至持卡人在同一发卡企业的同类单用途卡内。退货金额不足100 元（含） 的，可支付现金。第二十一条发卡企业或售卡企业应依单用途卡章程或协议约定，提供退卡服务。办理退卡时，发卡企业或售卡企业应要求退卡人出示有效身份证件，并留存退卡人姓名、有效身份证件号码、退卡卡号、金额等信息。发卡企业或售卡企业应将资金退至与退卡人同名的银行账户内，并留存银行账户信息卡内资金余额不足100 元（含） 的，可支付现金。第二十二条 发卡企业终止兑付未到期单用途卡的，发卡企业和售卡企业应向持卡人提供免费退卡服务，并在终止兑付日前至少30 日在备案机关指定的媒体上进行公示。</w:t>
            </w:r>
          </w:p>
        </w:tc>
        <w:tc>
          <w:tcPr>
            <w:tcW w:w="173" w:type="pct"/>
            <w:tcBorders>
              <w:top w:val="single" w:color="auto"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3</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发卡企业或售卡企业违规使用预售资金的处罚</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行政处罚</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【部门规章】《单用途商业预付卡管理办法（试行）》（2012 年商务部令第9 号）</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第三十七条第二款 发卡企业违反本办法第二十四条至第二十七条、第三十一条规定的由备案机关责令限期改正；逾期仍不改正的，处以1 万元以上3 万元以下罚款。</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第三款 集团发卡企业、品牌发卡企业疏于管理，其隶属的售卡企业12 个月内3 次违反</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本办法规定受到行政处罚的，备案机关可以对集团发卡企业、品牌发卡企业处以3 万元以下罚款。</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第二十四条 发卡企业应对预收资金进行严格管理。预收资金只能用于发卡企业主营业务，不得用于不动产、股权、证券等投资及借贷。</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第二十五条 主营业务为零售业、住宿和餐饮业的发卡企业，预收资金余额不得超过其上一会计年度主营业务收入的40%；主营业务为居民服务业的发卡企业的预收资金余额不得超过其上一会计年度主营业务收入；工商注册登记不足一年的发卡企业的预收资金余额不得超过其注册资本的2 倍。</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集团发卡企业预收资金余额不得超过其上一会计年度本集团营业收入的30%。</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本办法所称预收资金是指发卡企业通过发行单用途卡所预收的资金总额，预收资金余额是指预收资金扣减已兑付商品或服务价款后的余额。</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第二十六条 规模发卡企业、集团发卡企业和品牌发卡企业实行资金存管制度。规模发卡企业存管资金比例不低于上一季度预收资金余额的20%；集团发卡企业存管资金比例不低于上一季度预收资金余额的30%；品牌发卡企业存管资金比例不低于上一季度预收资金余额的40%。</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第二十七条 规模发卡企业、集团发卡企业和品牌发卡企业应确定一个商业银行账户作为资金存管账户，并与存管银行签订资金存管协议。</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资金存管协议应规定存管银行对发卡企业资金存管比例进行监督，对超额调用存管资金的指令予以拒绝，并按照备案机关要求提供发卡企业资金存缴情况。</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第三十一条 规模发卡企业应于每季度结束后15 个工作日内，集团发卡企业和品牌发卡企业应于每季度结束后20 个工作日内登录商务部“单用途商业预付卡业务信息系统”，填报</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上一季度单用途卡业务情况。其他发卡企业应于每年1 月31 日前填报《发卡企业单用途卡业务报告表》（格式见附件3）。</w:t>
            </w:r>
          </w:p>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发卡企业填报的信息应当准确、真实、完整，不得故意隐瞒或虚报。</w:t>
            </w:r>
          </w:p>
        </w:tc>
        <w:tc>
          <w:tcPr>
            <w:tcW w:w="17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4</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规模发卡企业或集团违反单用途商业预付卡管理规定的处罚</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行政处罚</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2"/>
                <w:sz w:val="20"/>
                <w:szCs w:val="20"/>
                <w:u w:val="none"/>
                <w:lang w:val="en-US" w:eastAsia="zh-CN" w:bidi="ar-SA"/>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2"/>
                <w:sz w:val="20"/>
                <w:szCs w:val="20"/>
                <w:u w:val="none"/>
                <w:lang w:val="en-US" w:eastAsia="zh-CN" w:bidi="ar-SA"/>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【部门规章】《单用途商业预付卡管理办法》（2012 年商务部令第9 号）</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第三十八条发卡企业违反本办法第二十九条规定，造成重大损失的，由备案机关处以1</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万元以上3 万元以下罚款。</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第二十九条规模发卡企业、集团发卡企业和品牌发卡企业应在境内建立与发行单用途卡规模相适应的业务处理系统，并保障业务处理系统信息安全和运行质量。</w:t>
            </w:r>
          </w:p>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发生重大或不可恢复的技术故障时，规模发卡企业、集团发卡企业、品牌发卡企业应立即向备案机关报告。</w:t>
            </w:r>
          </w:p>
        </w:tc>
        <w:tc>
          <w:tcPr>
            <w:tcW w:w="17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违反《美容美发业管理暂行办法》经营的处罚</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lang w:val="en-US"/>
              </w:rPr>
            </w:pPr>
            <w:r>
              <w:rPr>
                <w:rFonts w:hint="eastAsia" w:ascii="仿宋_GB2312" w:hAnsi="仿宋_GB2312" w:eastAsia="仿宋_GB2312" w:cs="仿宋_GB2312"/>
                <w:i w:val="0"/>
                <w:iCs w:val="0"/>
                <w:color w:val="auto"/>
                <w:kern w:val="0"/>
                <w:sz w:val="20"/>
                <w:szCs w:val="20"/>
                <w:u w:val="none"/>
                <w:lang w:val="en-US" w:eastAsia="zh-CN" w:bidi="ar"/>
              </w:rPr>
              <w:t>行政处罚</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【部门规章】《美容美发业管理暂行办法》（2004 年商务部令第19 号）</w:t>
            </w:r>
          </w:p>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第十八条各级商务主管部门对于违反本办法的美容美发经营者可以予以警告，令其限期改正。必要时，可以向社会公告。对依据有关法律、法规应予以处罚的，各级商务主管部门可以提请有关部门依法处罚。</w:t>
            </w:r>
          </w:p>
        </w:tc>
        <w:tc>
          <w:tcPr>
            <w:tcW w:w="17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9"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6</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对违反洗染业管理规定的处罚</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行政处罚</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 xml:space="preserve"> 【部门规章】《洗染业管理办法》（2007 年商务部、工商总局、环境保护总局令第5 号） 第三条商务部对全国洗染行业进行指导、协调、监督和管理，地方各级商务主管部门负</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责本行政区域内洗染行业指导、协调、监督和管理工作。</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工商行政管理部门负责洗染企业的登记注册，依法监管服务产品质量和经营行为，依法查处侵害消费者合法权益的违法行为。</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环保部门负责对洗染企业开设和经营过程中影响环境的行为进行监督管理，依法查处其环境违法行为。</w:t>
            </w:r>
          </w:p>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第二十二条 经营者违反本办法规定，法律法规有规定的，从其规定；没有规定的，由商务、工商、环保部门依据本办法第三条规定的职能责令改正，有违法所得的，可处违法所得3 倍以下罚款，但最高不超过3 万元；没有违法所得的，可处1 万元以下罚款；并可予以公告。</w:t>
            </w:r>
          </w:p>
        </w:tc>
        <w:tc>
          <w:tcPr>
            <w:tcW w:w="17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5"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7</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对市场经营者违规行为的处罚</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行政处罚</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【部门规章】《商品现货市场交易特别规定（试行）》（2013 年商务部、中国人民银行、中国证监会令第3 号）</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第二十三条 市场经营者违反第十一条、第十二条、第十三条、第十四条、第十七条、第十八条、第十九条、第二十一条规定，由县级以上商务主管部门会同有关部门责令改正。逾期不改的，处一万元以上三万元以下罚款。</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第十一条 市场经营者应当履行下列职责：（一） 提供交易的场所、设施及相关服务；</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（二） 按照本规定确定的交易方式和交易对象，建立健全交易、交收、结算、仓储、信息发布、风险控制、市场管理等业务规则与各项规章制度；（三） 法律法规规定的其他职责。</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第十二条 市场经营者应当公开业务规则和规章制度。制定、修改和变更业务规则和规</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商务主管部门 章制度，应当在合理时间内提前公示。对本行政区域内的市场经营者的违规行为进行处罚会同有关部门</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第十三条 商品现货市场应当制定应急预案。出现异常情况时，应当及时采取有效措施，防止出现市场风险。</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第十四条 市场经营者应当采取合同约束、系统控制、强化内部管理等措施，加强资金管理力度。市场经营者不得以任何形式侵占或挪用交易者的资金。</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第十七条 市场经营者应当建立完善商品信息发布制度，公布交易商品的名称、数量、质量、规格、产地等相关信息，保证信息的真实、准确，不得发布虚假信息。</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第十八条采用现代信息化技术开展交易活动的，市场经营者应当实时记录商品仓储、交</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易、交收、结算、支付等相关信息，采取措施保证相关信息的完整和安全，并保存五年以上。 县级第十九条市场经营者不得擅自篡改、销毁相关信息和资料。</w:t>
            </w:r>
          </w:p>
          <w:p>
            <w:pPr>
              <w:keepNext w:val="0"/>
              <w:keepLines w:val="0"/>
              <w:widowControl/>
              <w:suppressLineNumbers w:val="0"/>
              <w:jc w:val="left"/>
              <w:textAlignment w:val="center"/>
              <w:rPr>
                <w:rFonts w:hint="eastAsia" w:ascii="仿宋_GB2312" w:hAnsi="仿宋_GB2312" w:eastAsia="仿宋_GB2312" w:cs="仿宋_GB2312"/>
                <w:i w:val="0"/>
                <w:iCs w:val="0"/>
                <w:color w:val="auto"/>
                <w:sz w:val="20"/>
                <w:szCs w:val="20"/>
                <w:u w:val="none"/>
              </w:rPr>
            </w:pPr>
            <w:r>
              <w:rPr>
                <w:rFonts w:hint="eastAsia" w:ascii="仿宋_GB2312" w:hAnsi="仿宋_GB2312" w:eastAsia="仿宋_GB2312" w:cs="仿宋_GB2312"/>
                <w:i w:val="0"/>
                <w:iCs w:val="0"/>
                <w:color w:val="auto"/>
                <w:kern w:val="0"/>
                <w:sz w:val="20"/>
                <w:szCs w:val="20"/>
                <w:u w:val="none"/>
                <w:lang w:val="en-US" w:eastAsia="zh-CN" w:bidi="ar"/>
              </w:rPr>
              <w:t xml:space="preserve">第二十一条市场经营者应当根据相关部门的要求报送有关经营信息与资料。 </w:t>
            </w:r>
          </w:p>
        </w:tc>
        <w:tc>
          <w:tcPr>
            <w:tcW w:w="17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5"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8</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零售商违反《零售商促销行 为管理办法》的处罚</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行政处罚</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【部门规章】《零售商促销行为管理办法》（2006 年商务部、国家发展改革委、公安部税务总局、工商总局令第18 号）</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第二十三条 零售商违反本办法规定，法律法规有规定的，从其规定；没有规定的，责令改正，有违法所得的，可处违法所得三倍以下罚款，但最高不超过三万元；没有违法所得的，可处一万元以下罚款；并可予以公告。</w:t>
            </w:r>
          </w:p>
        </w:tc>
        <w:tc>
          <w:tcPr>
            <w:tcW w:w="17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5"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9</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对单用途商业预付卡的监督检查</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行政检查</w:t>
            </w:r>
          </w:p>
        </w:tc>
        <w:tc>
          <w:tcPr>
            <w:tcW w:w="2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【部门规章】《单用途商业预付卡管理办法（试行）》（2016 年修正）</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第五条 商务部负责全国单用途卡行业管理工作。县级以上地方人民政府商务主管部门负责本行政区域内单用途卡监督管理工作。</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第三十三条 商务部和地方人民政府商务主管部门应对发卡企业和售卡企业的单用途卡业务活动、内部控制和风险状况等进行定期或不定期的现场及非现场检查。发卡企业和售卡企业应配合商务主管部门的检查。</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第三十四条 商务部应建立健全“单用途商业预付卡业务信息系统”。地方人民政府商务主管部门应充分运用信息化手段加强对发卡企业的监督管理。</w:t>
            </w:r>
          </w:p>
        </w:tc>
        <w:tc>
          <w:tcPr>
            <w:tcW w:w="17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5"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10</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单用途商业预付卡备案</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其他</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【部门规章】《单用途商业预付卡管理办法（试行）》（2016 年商务部令第2 号修改） 第七条发卡企业应在开展单用途卡业务之日起30 日内按照下列规定办理备案：（一</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集团发卡企业和品牌发卡企业向其工商登记注册地省、自治区、直辖市人民政府商务主管部门备案；（二） 规模发卡企业向其工商登记注册地设区的市人民政府商务主管部门备案</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（三） 其他发卡企业向其工商登记注册地县（市、区） 人民政府商务主管部门备案。</w:t>
            </w:r>
          </w:p>
        </w:tc>
        <w:tc>
          <w:tcPr>
            <w:tcW w:w="17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5" w:hRule="atLeast"/>
        </w:trPr>
        <w:tc>
          <w:tcPr>
            <w:tcW w:w="1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11</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零售商开展促销活动明示促销内容的备案</w:t>
            </w: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其他</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吴忠市利通区商务和投资促进局</w:t>
            </w:r>
          </w:p>
        </w:tc>
        <w:tc>
          <w:tcPr>
            <w:tcW w:w="3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【部门规章】《零售商促销行为管理办法》（2006 年商务部、国家发展改革委、公安部国家税务总局、国家工商行政管理总局令第18 号）</w:t>
            </w:r>
          </w:p>
          <w:p>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第二十条 单店营业面积在3000 平方米以上的零售商，以新店开业、节庆、店庆等名义开展促销活动，应当在促销活动结束后十五日内，将其明示的促销内容，向经营场所所在地的县级以上（含县级） 商务主管部门备案。</w:t>
            </w:r>
          </w:p>
        </w:tc>
        <w:tc>
          <w:tcPr>
            <w:tcW w:w="173"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_GB2312" w:hAnsi="仿宋_GB2312" w:eastAsia="仿宋_GB2312" w:cs="仿宋_GB2312"/>
                <w:i w:val="0"/>
                <w:iCs w:val="0"/>
                <w:color w:val="FF0000"/>
                <w:sz w:val="21"/>
                <w:szCs w:val="21"/>
                <w:u w:val="none"/>
              </w:rPr>
            </w:pPr>
          </w:p>
        </w:tc>
      </w:tr>
    </w:tbl>
    <w:p>
      <w:pPr>
        <w:widowControl/>
        <w:spacing w:line="500" w:lineRule="exact"/>
        <w:jc w:val="both"/>
        <w:textAlignment w:val="center"/>
        <w:rPr>
          <w:rFonts w:hint="default" w:ascii="Nimbus Roman No9 L" w:hAnsi="Nimbus Roman No9 L" w:eastAsia="方正小标宋_GBK" w:cs="Nimbus Roman No9 L"/>
          <w:color w:val="000000"/>
          <w:kern w:val="0"/>
          <w:sz w:val="44"/>
          <w:szCs w:val="44"/>
          <w:lang w:val="en-US" w:eastAsia="zh-CN" w:bidi="ar"/>
        </w:rPr>
      </w:pPr>
    </w:p>
    <w:p>
      <w:pPr>
        <w:widowControl/>
        <w:spacing w:line="500" w:lineRule="exact"/>
        <w:jc w:val="both"/>
        <w:textAlignment w:val="center"/>
        <w:rPr>
          <w:rFonts w:hint="default" w:ascii="Nimbus Roman No9 L" w:hAnsi="Nimbus Roman No9 L" w:eastAsia="方正小标宋_GBK" w:cs="Nimbus Roman No9 L"/>
          <w:color w:val="000000"/>
          <w:kern w:val="0"/>
          <w:sz w:val="44"/>
          <w:szCs w:val="44"/>
          <w:lang w:val="en-US" w:eastAsia="zh-CN" w:bidi="ar"/>
        </w:rPr>
      </w:pPr>
    </w:p>
    <w:p>
      <w:pPr>
        <w:pStyle w:val="2"/>
        <w:rPr>
          <w:rFonts w:hint="default" w:ascii="Nimbus Roman No9 L" w:hAnsi="Nimbus Roman No9 L" w:eastAsia="方正小标宋_GBK" w:cs="Nimbus Roman No9 L"/>
          <w:color w:val="000000"/>
          <w:kern w:val="0"/>
          <w:sz w:val="44"/>
          <w:szCs w:val="44"/>
          <w:lang w:val="en-US" w:eastAsia="zh-CN" w:bidi="ar"/>
        </w:rPr>
      </w:pPr>
    </w:p>
    <w:p>
      <w:pPr>
        <w:rPr>
          <w:rFonts w:hint="default"/>
          <w:lang w:val="en-US" w:eastAsia="zh-CN"/>
        </w:rPr>
      </w:pPr>
    </w:p>
    <w:p>
      <w:pPr>
        <w:widowControl/>
        <w:spacing w:line="500" w:lineRule="exact"/>
        <w:jc w:val="center"/>
        <w:textAlignment w:val="center"/>
        <w:rPr>
          <w:rFonts w:hint="default" w:ascii="Nimbus Roman No9 L" w:hAnsi="Nimbus Roman No9 L" w:eastAsia="方正小标宋_GBK" w:cs="Nimbus Roman No9 L"/>
          <w:color w:val="000000"/>
          <w:kern w:val="0"/>
          <w:sz w:val="44"/>
          <w:szCs w:val="44"/>
          <w:lang w:bidi="ar"/>
        </w:rPr>
      </w:pPr>
      <w:r>
        <w:rPr>
          <w:rFonts w:hint="default" w:ascii="Nimbus Roman No9 L" w:hAnsi="Nimbus Roman No9 L" w:eastAsia="方正小标宋_GBK" w:cs="Nimbus Roman No9 L"/>
          <w:color w:val="000000"/>
          <w:kern w:val="0"/>
          <w:sz w:val="44"/>
          <w:szCs w:val="44"/>
          <w:lang w:val="en-US" w:eastAsia="zh-CN" w:bidi="ar"/>
        </w:rPr>
        <w:t>利通区</w:t>
      </w:r>
      <w:r>
        <w:rPr>
          <w:rFonts w:hint="eastAsia" w:ascii="Nimbus Roman No9 L" w:hAnsi="Nimbus Roman No9 L" w:eastAsia="方正小标宋_GBK" w:cs="Nimbus Roman No9 L"/>
          <w:color w:val="000000"/>
          <w:kern w:val="0"/>
          <w:sz w:val="44"/>
          <w:szCs w:val="44"/>
          <w:lang w:val="en-US" w:eastAsia="zh-CN" w:bidi="ar"/>
        </w:rPr>
        <w:t>商务和投资促进局</w:t>
      </w:r>
      <w:r>
        <w:rPr>
          <w:rFonts w:hint="default" w:ascii="Nimbus Roman No9 L" w:hAnsi="Nimbus Roman No9 L" w:eastAsia="方正小标宋_GBK" w:cs="Nimbus Roman No9 L"/>
          <w:color w:val="000000"/>
          <w:kern w:val="0"/>
          <w:sz w:val="44"/>
          <w:szCs w:val="44"/>
          <w:lang w:bidi="ar"/>
        </w:rPr>
        <w:t>随机抽查事项清单</w:t>
      </w:r>
    </w:p>
    <w:tbl>
      <w:tblPr>
        <w:tblStyle w:val="8"/>
        <w:tblpPr w:leftFromText="180" w:rightFromText="180" w:vertAnchor="text" w:horzAnchor="page" w:tblpX="1937" w:tblpY="263"/>
        <w:tblOverlap w:val="never"/>
        <w:tblW w:w="13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5"/>
        <w:gridCol w:w="1255"/>
        <w:gridCol w:w="4472"/>
        <w:gridCol w:w="1255"/>
        <w:gridCol w:w="1077"/>
        <w:gridCol w:w="1078"/>
        <w:gridCol w:w="1145"/>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645" w:type="dxa"/>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pacing w:line="180" w:lineRule="exact"/>
              <w:jc w:val="center"/>
              <w:textAlignment w:val="center"/>
              <w:rPr>
                <w:rFonts w:hint="default" w:ascii="Nimbus Roman No9 L" w:hAnsi="Nimbus Roman No9 L" w:eastAsia="黑体" w:cs="Nimbus Roman No9 L"/>
                <w:color w:val="000000"/>
                <w:sz w:val="20"/>
                <w:szCs w:val="20"/>
              </w:rPr>
            </w:pPr>
            <w:r>
              <w:rPr>
                <w:rFonts w:hint="default" w:ascii="Nimbus Roman No9 L" w:hAnsi="Nimbus Roman No9 L" w:eastAsia="黑体" w:cs="Nimbus Roman No9 L"/>
                <w:color w:val="000000"/>
                <w:kern w:val="0"/>
                <w:sz w:val="18"/>
                <w:szCs w:val="18"/>
                <w:lang w:bidi="ar"/>
              </w:rPr>
              <w:t>序号</w:t>
            </w:r>
          </w:p>
        </w:tc>
        <w:tc>
          <w:tcPr>
            <w:tcW w:w="5727" w:type="dxa"/>
            <w:gridSpan w:val="2"/>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pacing w:line="180" w:lineRule="exact"/>
              <w:jc w:val="center"/>
              <w:textAlignment w:val="center"/>
              <w:rPr>
                <w:rFonts w:hint="eastAsia" w:ascii="Nimbus Roman No9 L" w:hAnsi="Nimbus Roman No9 L" w:eastAsia="黑体" w:cs="Nimbus Roman No9 L"/>
                <w:color w:val="000000"/>
                <w:sz w:val="20"/>
                <w:szCs w:val="20"/>
                <w:lang w:eastAsia="zh-CN"/>
              </w:rPr>
            </w:pPr>
            <w:r>
              <w:rPr>
                <w:rFonts w:hint="default" w:ascii="Nimbus Roman No9 L" w:hAnsi="Nimbus Roman No9 L" w:eastAsia="黑体" w:cs="Nimbus Roman No9 L"/>
                <w:color w:val="000000"/>
                <w:kern w:val="0"/>
                <w:sz w:val="18"/>
                <w:szCs w:val="18"/>
                <w:lang w:bidi="ar"/>
              </w:rPr>
              <w:t>抽查项目</w:t>
            </w:r>
          </w:p>
        </w:tc>
        <w:tc>
          <w:tcPr>
            <w:tcW w:w="1255" w:type="dxa"/>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pacing w:line="180" w:lineRule="exact"/>
              <w:jc w:val="center"/>
              <w:textAlignment w:val="center"/>
              <w:rPr>
                <w:rFonts w:hint="default" w:ascii="Nimbus Roman No9 L" w:hAnsi="Nimbus Roman No9 L" w:eastAsia="黑体" w:cs="Nimbus Roman No9 L"/>
                <w:color w:val="000000"/>
                <w:kern w:val="0"/>
                <w:sz w:val="18"/>
                <w:szCs w:val="18"/>
                <w:lang w:bidi="ar"/>
              </w:rPr>
            </w:pPr>
            <w:r>
              <w:rPr>
                <w:rFonts w:hint="default" w:ascii="Nimbus Roman No9 L" w:hAnsi="Nimbus Roman No9 L" w:eastAsia="黑体" w:cs="Nimbus Roman No9 L"/>
                <w:color w:val="000000"/>
                <w:kern w:val="0"/>
                <w:sz w:val="18"/>
                <w:szCs w:val="18"/>
                <w:lang w:bidi="ar"/>
              </w:rPr>
              <w:t>检查对象</w:t>
            </w:r>
          </w:p>
        </w:tc>
        <w:tc>
          <w:tcPr>
            <w:tcW w:w="1077" w:type="dxa"/>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pacing w:line="180" w:lineRule="exact"/>
              <w:jc w:val="center"/>
              <w:textAlignment w:val="center"/>
              <w:rPr>
                <w:rFonts w:hint="default" w:ascii="Nimbus Roman No9 L" w:hAnsi="Nimbus Roman No9 L" w:eastAsia="黑体" w:cs="Nimbus Roman No9 L"/>
                <w:color w:val="000000"/>
                <w:kern w:val="0"/>
                <w:sz w:val="18"/>
                <w:szCs w:val="18"/>
                <w:lang w:bidi="ar"/>
              </w:rPr>
            </w:pPr>
            <w:r>
              <w:rPr>
                <w:rFonts w:hint="default" w:ascii="Nimbus Roman No9 L" w:hAnsi="Nimbus Roman No9 L" w:eastAsia="黑体" w:cs="Nimbus Roman No9 L"/>
                <w:color w:val="000000"/>
                <w:kern w:val="0"/>
                <w:sz w:val="18"/>
                <w:szCs w:val="18"/>
                <w:lang w:bidi="ar"/>
              </w:rPr>
              <w:t>事项类别</w:t>
            </w:r>
          </w:p>
        </w:tc>
        <w:tc>
          <w:tcPr>
            <w:tcW w:w="1078" w:type="dxa"/>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pacing w:line="180" w:lineRule="exact"/>
              <w:jc w:val="center"/>
              <w:textAlignment w:val="center"/>
              <w:rPr>
                <w:rFonts w:hint="default" w:ascii="Nimbus Roman No9 L" w:hAnsi="Nimbus Roman No9 L" w:eastAsia="黑体" w:cs="Nimbus Roman No9 L"/>
                <w:color w:val="000000"/>
                <w:kern w:val="0"/>
                <w:sz w:val="18"/>
                <w:szCs w:val="18"/>
                <w:lang w:bidi="ar"/>
              </w:rPr>
            </w:pPr>
            <w:r>
              <w:rPr>
                <w:rFonts w:hint="default" w:ascii="Nimbus Roman No9 L" w:hAnsi="Nimbus Roman No9 L" w:eastAsia="黑体" w:cs="Nimbus Roman No9 L"/>
                <w:color w:val="000000"/>
                <w:kern w:val="0"/>
                <w:sz w:val="18"/>
                <w:szCs w:val="18"/>
                <w:lang w:bidi="ar"/>
              </w:rPr>
              <w:t>检查方式</w:t>
            </w:r>
          </w:p>
        </w:tc>
        <w:tc>
          <w:tcPr>
            <w:tcW w:w="1145" w:type="dxa"/>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pacing w:line="180" w:lineRule="exact"/>
              <w:jc w:val="center"/>
              <w:textAlignment w:val="center"/>
              <w:rPr>
                <w:rFonts w:hint="default" w:ascii="Nimbus Roman No9 L" w:hAnsi="Nimbus Roman No9 L" w:eastAsia="黑体" w:cs="Nimbus Roman No9 L"/>
                <w:color w:val="000000"/>
                <w:kern w:val="0"/>
                <w:sz w:val="18"/>
                <w:szCs w:val="18"/>
                <w:lang w:bidi="ar"/>
              </w:rPr>
            </w:pPr>
            <w:r>
              <w:rPr>
                <w:rFonts w:hint="default" w:ascii="Nimbus Roman No9 L" w:hAnsi="Nimbus Roman No9 L" w:eastAsia="黑体" w:cs="Nimbus Roman No9 L"/>
                <w:color w:val="000000"/>
                <w:kern w:val="0"/>
                <w:sz w:val="18"/>
                <w:szCs w:val="18"/>
                <w:lang w:bidi="ar"/>
              </w:rPr>
              <w:t>检查主体</w:t>
            </w:r>
          </w:p>
        </w:tc>
        <w:tc>
          <w:tcPr>
            <w:tcW w:w="2332" w:type="dxa"/>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pacing w:line="180" w:lineRule="exact"/>
              <w:jc w:val="center"/>
              <w:textAlignment w:val="center"/>
              <w:rPr>
                <w:rFonts w:hint="default" w:ascii="Nimbus Roman No9 L" w:hAnsi="Nimbus Roman No9 L" w:eastAsia="黑体" w:cs="Nimbus Roman No9 L"/>
                <w:color w:val="000000"/>
                <w:kern w:val="0"/>
                <w:sz w:val="18"/>
                <w:szCs w:val="18"/>
                <w:lang w:bidi="ar"/>
              </w:rPr>
            </w:pPr>
            <w:r>
              <w:rPr>
                <w:rFonts w:hint="default" w:ascii="Nimbus Roman No9 L" w:hAnsi="Nimbus Roman No9 L" w:eastAsia="黑体" w:cs="Nimbus Roman No9 L"/>
                <w:color w:val="000000"/>
                <w:kern w:val="0"/>
                <w:sz w:val="18"/>
                <w:szCs w:val="18"/>
                <w:lang w:bidi="ar"/>
              </w:rPr>
              <w:t>检查依据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trPr>
        <w:tc>
          <w:tcPr>
            <w:tcW w:w="645" w:type="dxa"/>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default" w:ascii="Nimbus Roman No9 L" w:hAnsi="Nimbus Roman No9 L" w:eastAsia="黑体" w:cs="Nimbus Roman No9 L"/>
                <w:color w:val="000000"/>
                <w:sz w:val="16"/>
                <w:szCs w:val="16"/>
              </w:rPr>
            </w:pPr>
          </w:p>
        </w:tc>
        <w:tc>
          <w:tcPr>
            <w:tcW w:w="1255" w:type="dxa"/>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pacing w:line="180" w:lineRule="exact"/>
              <w:jc w:val="center"/>
              <w:textAlignment w:val="center"/>
              <w:rPr>
                <w:rFonts w:hint="default" w:ascii="Nimbus Roman No9 L" w:hAnsi="Nimbus Roman No9 L" w:eastAsia="黑体" w:cs="Nimbus Roman No9 L"/>
                <w:color w:val="000000"/>
                <w:kern w:val="0"/>
                <w:sz w:val="18"/>
                <w:szCs w:val="18"/>
                <w:lang w:bidi="ar"/>
              </w:rPr>
            </w:pPr>
            <w:r>
              <w:rPr>
                <w:rFonts w:hint="default" w:ascii="Nimbus Roman No9 L" w:hAnsi="Nimbus Roman No9 L" w:eastAsia="黑体" w:cs="Nimbus Roman No9 L"/>
                <w:color w:val="000000"/>
                <w:kern w:val="0"/>
                <w:sz w:val="18"/>
                <w:szCs w:val="18"/>
                <w:lang w:bidi="ar"/>
              </w:rPr>
              <w:t>抽查类别</w:t>
            </w:r>
          </w:p>
        </w:tc>
        <w:tc>
          <w:tcPr>
            <w:tcW w:w="4472" w:type="dxa"/>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spacing w:line="180" w:lineRule="exact"/>
              <w:jc w:val="center"/>
              <w:textAlignment w:val="center"/>
              <w:rPr>
                <w:rFonts w:hint="default" w:ascii="Nimbus Roman No9 L" w:hAnsi="Nimbus Roman No9 L" w:eastAsia="黑体" w:cs="Nimbus Roman No9 L"/>
                <w:color w:val="000000"/>
                <w:kern w:val="0"/>
                <w:sz w:val="18"/>
                <w:szCs w:val="18"/>
                <w:lang w:bidi="ar"/>
              </w:rPr>
            </w:pPr>
            <w:r>
              <w:rPr>
                <w:rFonts w:hint="default" w:ascii="Nimbus Roman No9 L" w:hAnsi="Nimbus Roman No9 L" w:eastAsia="黑体" w:cs="Nimbus Roman No9 L"/>
                <w:color w:val="000000"/>
                <w:kern w:val="0"/>
                <w:sz w:val="18"/>
                <w:szCs w:val="18"/>
                <w:lang w:bidi="ar"/>
              </w:rPr>
              <w:t>抽查事项</w:t>
            </w:r>
          </w:p>
        </w:tc>
        <w:tc>
          <w:tcPr>
            <w:tcW w:w="1255" w:type="dxa"/>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left"/>
              <w:rPr>
                <w:rFonts w:hint="default" w:ascii="Nimbus Roman No9 L" w:hAnsi="Nimbus Roman No9 L" w:eastAsia="黑体" w:cs="Nimbus Roman No9 L"/>
                <w:color w:val="000000"/>
                <w:sz w:val="18"/>
                <w:szCs w:val="18"/>
              </w:rPr>
            </w:pPr>
          </w:p>
        </w:tc>
        <w:tc>
          <w:tcPr>
            <w:tcW w:w="1077" w:type="dxa"/>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default" w:ascii="Nimbus Roman No9 L" w:hAnsi="Nimbus Roman No9 L" w:eastAsia="黑体" w:cs="Nimbus Roman No9 L"/>
                <w:color w:val="000000"/>
                <w:sz w:val="18"/>
                <w:szCs w:val="18"/>
              </w:rPr>
            </w:pPr>
          </w:p>
        </w:tc>
        <w:tc>
          <w:tcPr>
            <w:tcW w:w="1078" w:type="dxa"/>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default" w:ascii="Nimbus Roman No9 L" w:hAnsi="Nimbus Roman No9 L" w:eastAsia="黑体" w:cs="Nimbus Roman No9 L"/>
                <w:color w:val="000000"/>
                <w:sz w:val="18"/>
                <w:szCs w:val="18"/>
              </w:rPr>
            </w:pPr>
          </w:p>
        </w:tc>
        <w:tc>
          <w:tcPr>
            <w:tcW w:w="1145" w:type="dxa"/>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default" w:ascii="Nimbus Roman No9 L" w:hAnsi="Nimbus Roman No9 L" w:eastAsia="黑体" w:cs="Nimbus Roman No9 L"/>
                <w:color w:val="000000"/>
                <w:sz w:val="18"/>
                <w:szCs w:val="18"/>
              </w:rPr>
            </w:pPr>
          </w:p>
        </w:tc>
        <w:tc>
          <w:tcPr>
            <w:tcW w:w="2332" w:type="dxa"/>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rPr>
                <w:rFonts w:hint="default" w:ascii="Nimbus Roman No9 L" w:hAnsi="Nimbus Roman No9 L" w:eastAsia="黑体" w:cs="Nimbus Roman No9 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1" w:hRule="atLeast"/>
        </w:trPr>
        <w:tc>
          <w:tcPr>
            <w:tcW w:w="645" w:type="dxa"/>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1</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bCs/>
                <w:sz w:val="21"/>
                <w:szCs w:val="21"/>
                <w:lang w:val="en-US" w:eastAsia="zh-CN"/>
              </w:rPr>
              <w:t>从事拍卖业务</w:t>
            </w:r>
          </w:p>
        </w:tc>
        <w:tc>
          <w:tcPr>
            <w:tcW w:w="447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依法取得从事拍卖业务许可的企业经营行为。</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经备案的拍卖企业</w:t>
            </w:r>
          </w:p>
        </w:tc>
        <w:tc>
          <w:tcPr>
            <w:tcW w:w="1077"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一般检查事项</w:t>
            </w:r>
          </w:p>
        </w:tc>
        <w:tc>
          <w:tcPr>
            <w:tcW w:w="1078"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现场检查</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书面检查</w:t>
            </w:r>
          </w:p>
        </w:tc>
        <w:tc>
          <w:tcPr>
            <w:tcW w:w="114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利通区商务和投资促进局</w:t>
            </w:r>
          </w:p>
        </w:tc>
        <w:tc>
          <w:tcPr>
            <w:tcW w:w="233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《拍卖法》《拍卖管理办法》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8" w:hRule="atLeast"/>
        </w:trPr>
        <w:tc>
          <w:tcPr>
            <w:tcW w:w="645" w:type="dxa"/>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default"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2</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报废机动车回收</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bCs/>
                <w:sz w:val="21"/>
                <w:szCs w:val="21"/>
                <w:lang w:val="en-US" w:eastAsia="zh-CN"/>
              </w:rPr>
              <w:t>拆解</w:t>
            </w:r>
          </w:p>
        </w:tc>
        <w:tc>
          <w:tcPr>
            <w:tcW w:w="4472" w:type="dxa"/>
            <w:noWrap w:val="0"/>
            <w:tcMar>
              <w:top w:w="12" w:type="dxa"/>
              <w:left w:w="12" w:type="dxa"/>
              <w:right w:w="12" w:type="dxa"/>
            </w:tcMar>
            <w:vAlign w:val="center"/>
          </w:tcPr>
          <w:p>
            <w:pPr>
              <w:pStyle w:val="12"/>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1.报废机动车回收拆解程序合规情况：</w:t>
            </w:r>
          </w:p>
          <w:p>
            <w:pPr>
              <w:pStyle w:val="12"/>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2.《资质认定书》使用合规情况：</w:t>
            </w:r>
          </w:p>
          <w:p>
            <w:pPr>
              <w:pStyle w:val="12"/>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3.出具《报废机动车回收证明机情况：</w:t>
            </w:r>
          </w:p>
          <w:p>
            <w:pPr>
              <w:pStyle w:val="12"/>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4.“五大总成”处置情况。</w:t>
            </w:r>
          </w:p>
          <w:p>
            <w:pPr>
              <w:pStyle w:val="12"/>
              <w:jc w:val="both"/>
              <w:rPr>
                <w:rFonts w:hint="default"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5.落实安全主体责任情况。</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经审批的报废机动车回收拆解企业</w:t>
            </w:r>
          </w:p>
        </w:tc>
        <w:tc>
          <w:tcPr>
            <w:tcW w:w="1077"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sz w:val="22"/>
                <w:szCs w:val="22"/>
                <w:lang w:eastAsia="zh-CN"/>
              </w:rPr>
            </w:pPr>
            <w:r>
              <w:rPr>
                <w:rFonts w:hint="default" w:ascii="Times New Roman" w:hAnsi="Times New Roman" w:eastAsia="仿宋_GB2312" w:cs="Times New Roman"/>
                <w:b w:val="0"/>
                <w:bCs w:val="0"/>
                <w:sz w:val="21"/>
                <w:szCs w:val="21"/>
                <w:vertAlign w:val="baseline"/>
                <w:lang w:val="en-US" w:eastAsia="zh-CN"/>
              </w:rPr>
              <w:t>重点检查事项</w:t>
            </w:r>
          </w:p>
        </w:tc>
        <w:tc>
          <w:tcPr>
            <w:tcW w:w="1078"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现场检查</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书面检查</w:t>
            </w:r>
          </w:p>
        </w:tc>
        <w:tc>
          <w:tcPr>
            <w:tcW w:w="114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val="0"/>
                <w:bCs/>
                <w:i w:val="0"/>
                <w:color w:val="000000"/>
                <w:kern w:val="0"/>
                <w:sz w:val="22"/>
                <w:szCs w:val="22"/>
                <w:u w:val="none"/>
                <w:lang w:val="en-US" w:eastAsia="zh-CN" w:bidi="ar"/>
              </w:rPr>
            </w:pPr>
            <w:r>
              <w:rPr>
                <w:rFonts w:hint="default" w:ascii="Times New Roman" w:hAnsi="Times New Roman" w:eastAsia="仿宋_GB2312" w:cs="Times New Roman"/>
                <w:b w:val="0"/>
                <w:bCs w:val="0"/>
                <w:sz w:val="21"/>
                <w:szCs w:val="21"/>
                <w:vertAlign w:val="baseline"/>
                <w:lang w:val="en-US" w:eastAsia="zh-CN"/>
              </w:rPr>
              <w:t>利通区商务和投资促进局</w:t>
            </w:r>
          </w:p>
        </w:tc>
        <w:tc>
          <w:tcPr>
            <w:tcW w:w="233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sz w:val="22"/>
                <w:szCs w:val="22"/>
                <w:lang w:eastAsia="zh-CN"/>
              </w:rPr>
            </w:pPr>
            <w:r>
              <w:rPr>
                <w:rFonts w:hint="default" w:ascii="Times New Roman" w:hAnsi="Times New Roman" w:eastAsia="仿宋_GB2312" w:cs="Times New Roman"/>
                <w:b w:val="0"/>
                <w:bCs w:val="0"/>
                <w:sz w:val="21"/>
                <w:szCs w:val="21"/>
                <w:vertAlign w:val="baseline"/>
                <w:lang w:val="en-US" w:eastAsia="zh-CN"/>
              </w:rPr>
              <w:t>《报废机动车回收管理办法》《报废机动车回收管理办法实施细则》《全市商务系统安全生产治本攻坚三年行动方案（2024-2026年）》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8" w:hRule="atLeast"/>
        </w:trPr>
        <w:tc>
          <w:tcPr>
            <w:tcW w:w="645" w:type="dxa"/>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default"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3</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二手车</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bCs/>
                <w:sz w:val="21"/>
                <w:szCs w:val="21"/>
                <w:lang w:val="en-US" w:eastAsia="zh-CN"/>
              </w:rPr>
              <w:t>流通</w:t>
            </w:r>
          </w:p>
        </w:tc>
        <w:tc>
          <w:tcPr>
            <w:tcW w:w="4472" w:type="dxa"/>
            <w:noWrap w:val="0"/>
            <w:tcMar>
              <w:top w:w="12" w:type="dxa"/>
              <w:left w:w="12" w:type="dxa"/>
              <w:right w:w="12" w:type="dxa"/>
            </w:tcMar>
            <w:vAlign w:val="center"/>
          </w:tcPr>
          <w:p>
            <w:pPr>
              <w:pStyle w:val="12"/>
              <w:numPr>
                <w:ilvl w:val="0"/>
                <w:numId w:val="1"/>
              </w:numPr>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二手车交易市场经营者和二手车经营主体有关备案情况。</w:t>
            </w:r>
          </w:p>
          <w:p>
            <w:pPr>
              <w:pStyle w:val="12"/>
              <w:numPr>
                <w:ilvl w:val="0"/>
                <w:numId w:val="1"/>
              </w:numPr>
              <w:jc w:val="both"/>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落实安全主体责任情况。</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经备案的二手车经营主体</w:t>
            </w:r>
          </w:p>
        </w:tc>
        <w:tc>
          <w:tcPr>
            <w:tcW w:w="1077"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sz w:val="22"/>
                <w:szCs w:val="22"/>
                <w:lang w:eastAsia="zh-CN"/>
              </w:rPr>
            </w:pPr>
            <w:r>
              <w:rPr>
                <w:rFonts w:hint="default" w:ascii="Times New Roman" w:hAnsi="Times New Roman" w:eastAsia="仿宋_GB2312" w:cs="Times New Roman"/>
                <w:b w:val="0"/>
                <w:bCs w:val="0"/>
                <w:sz w:val="21"/>
                <w:szCs w:val="21"/>
                <w:vertAlign w:val="baseline"/>
                <w:lang w:val="en-US" w:eastAsia="zh-CN"/>
              </w:rPr>
              <w:t>一般检查事项</w:t>
            </w:r>
          </w:p>
        </w:tc>
        <w:tc>
          <w:tcPr>
            <w:tcW w:w="1078"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现场检查</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书面检查</w:t>
            </w:r>
          </w:p>
        </w:tc>
        <w:tc>
          <w:tcPr>
            <w:tcW w:w="114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val="0"/>
                <w:bCs/>
                <w:i w:val="0"/>
                <w:color w:val="000000"/>
                <w:kern w:val="0"/>
                <w:sz w:val="22"/>
                <w:szCs w:val="22"/>
                <w:u w:val="none"/>
                <w:lang w:val="en-US" w:eastAsia="zh-CN" w:bidi="ar"/>
              </w:rPr>
            </w:pPr>
            <w:r>
              <w:rPr>
                <w:rFonts w:hint="default" w:ascii="Times New Roman" w:hAnsi="Times New Roman" w:eastAsia="仿宋_GB2312" w:cs="Times New Roman"/>
                <w:b w:val="0"/>
                <w:bCs w:val="0"/>
                <w:sz w:val="21"/>
                <w:szCs w:val="21"/>
                <w:vertAlign w:val="baseline"/>
                <w:lang w:val="en-US" w:eastAsia="zh-CN"/>
              </w:rPr>
              <w:t>利通区商务和投资促进局</w:t>
            </w:r>
          </w:p>
        </w:tc>
        <w:tc>
          <w:tcPr>
            <w:tcW w:w="233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《二手车流通管理办法》《全市商务系统安全生产治本攻坚三年行动方案（2024-2026年）》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8" w:hRule="atLeast"/>
        </w:trPr>
        <w:tc>
          <w:tcPr>
            <w:tcW w:w="645" w:type="dxa"/>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default"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4</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bCs/>
                <w:sz w:val="21"/>
                <w:szCs w:val="21"/>
                <w:lang w:val="en-US" w:eastAsia="zh-CN"/>
              </w:rPr>
              <w:t>单用途商业预付卡</w:t>
            </w:r>
          </w:p>
        </w:tc>
        <w:tc>
          <w:tcPr>
            <w:tcW w:w="447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对发卡企业和售卡企业的单用途卡业务活动、内部控制和风险状况等进行检查。</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经备案的发卡企业</w:t>
            </w:r>
          </w:p>
        </w:tc>
        <w:tc>
          <w:tcPr>
            <w:tcW w:w="1077"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sz w:val="22"/>
                <w:szCs w:val="22"/>
                <w:lang w:eastAsia="zh-CN"/>
              </w:rPr>
            </w:pPr>
            <w:r>
              <w:rPr>
                <w:rFonts w:hint="default" w:ascii="Times New Roman" w:hAnsi="Times New Roman" w:eastAsia="仿宋_GB2312" w:cs="Times New Roman"/>
                <w:b w:val="0"/>
                <w:bCs w:val="0"/>
                <w:sz w:val="21"/>
                <w:szCs w:val="21"/>
                <w:vertAlign w:val="baseline"/>
                <w:lang w:val="en-US" w:eastAsia="zh-CN"/>
              </w:rPr>
              <w:t>一般检查事项</w:t>
            </w:r>
          </w:p>
        </w:tc>
        <w:tc>
          <w:tcPr>
            <w:tcW w:w="1078"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现场检查</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书面检查</w:t>
            </w:r>
          </w:p>
        </w:tc>
        <w:tc>
          <w:tcPr>
            <w:tcW w:w="114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val="0"/>
                <w:bCs/>
                <w:i w:val="0"/>
                <w:color w:val="000000"/>
                <w:kern w:val="0"/>
                <w:sz w:val="22"/>
                <w:szCs w:val="22"/>
                <w:u w:val="none"/>
                <w:lang w:val="en-US" w:eastAsia="zh-CN" w:bidi="ar"/>
              </w:rPr>
            </w:pPr>
            <w:r>
              <w:rPr>
                <w:rFonts w:hint="default" w:ascii="Times New Roman" w:hAnsi="Times New Roman" w:eastAsia="仿宋_GB2312" w:cs="Times New Roman"/>
                <w:b w:val="0"/>
                <w:bCs w:val="0"/>
                <w:sz w:val="21"/>
                <w:szCs w:val="21"/>
                <w:vertAlign w:val="baseline"/>
                <w:lang w:val="en-US" w:eastAsia="zh-CN"/>
              </w:rPr>
              <w:t>利通区商务和投资促进局</w:t>
            </w:r>
          </w:p>
        </w:tc>
        <w:tc>
          <w:tcPr>
            <w:tcW w:w="233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《单用途商业预付卡管理办法（暂行）》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8" w:hRule="atLeast"/>
        </w:trPr>
        <w:tc>
          <w:tcPr>
            <w:tcW w:w="645" w:type="dxa"/>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default"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5</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bCs/>
                <w:sz w:val="21"/>
                <w:szCs w:val="21"/>
                <w:lang w:val="en-US" w:eastAsia="zh-CN"/>
              </w:rPr>
              <w:t>成品油流通市场</w:t>
            </w:r>
          </w:p>
        </w:tc>
        <w:tc>
          <w:tcPr>
            <w:tcW w:w="4472" w:type="dxa"/>
            <w:noWrap w:val="0"/>
            <w:tcMar>
              <w:top w:w="12" w:type="dxa"/>
              <w:left w:w="12" w:type="dxa"/>
              <w:right w:w="12" w:type="dxa"/>
            </w:tcMar>
            <w:vAlign w:val="center"/>
          </w:tcPr>
          <w:p>
            <w:pPr>
              <w:pStyle w:val="12"/>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1.无证无照经营行为：</w:t>
            </w:r>
          </w:p>
          <w:p>
            <w:pPr>
              <w:pStyle w:val="12"/>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2.非法运输，储存和销售成品油行为；</w:t>
            </w:r>
          </w:p>
          <w:p>
            <w:pPr>
              <w:pStyle w:val="12"/>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3.非法销售国家明今禁止的非标油行为；</w:t>
            </w:r>
          </w:p>
          <w:p>
            <w:pPr>
              <w:pStyle w:val="12"/>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4.偷税速税行为：</w:t>
            </w:r>
          </w:p>
          <w:p>
            <w:pPr>
              <w:pStyle w:val="12"/>
              <w:jc w:val="both"/>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5.违法违规经营成品油的行为。</w:t>
            </w:r>
          </w:p>
          <w:p>
            <w:pPr>
              <w:pStyle w:val="12"/>
              <w:jc w:val="both"/>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6.落实安全主体责任情况。</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成品油流通企业</w:t>
            </w:r>
          </w:p>
        </w:tc>
        <w:tc>
          <w:tcPr>
            <w:tcW w:w="1077"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sz w:val="22"/>
                <w:szCs w:val="22"/>
                <w:lang w:eastAsia="zh-CN"/>
              </w:rPr>
            </w:pPr>
            <w:r>
              <w:rPr>
                <w:rFonts w:hint="default" w:ascii="Times New Roman" w:hAnsi="Times New Roman" w:eastAsia="仿宋_GB2312" w:cs="Times New Roman"/>
                <w:b w:val="0"/>
                <w:bCs w:val="0"/>
                <w:sz w:val="21"/>
                <w:szCs w:val="21"/>
                <w:vertAlign w:val="baseline"/>
                <w:lang w:val="en-US" w:eastAsia="zh-CN"/>
              </w:rPr>
              <w:t>重点检查事项</w:t>
            </w:r>
          </w:p>
        </w:tc>
        <w:tc>
          <w:tcPr>
            <w:tcW w:w="1078"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现场检查</w:t>
            </w:r>
          </w:p>
        </w:tc>
        <w:tc>
          <w:tcPr>
            <w:tcW w:w="114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val="0"/>
                <w:bCs/>
                <w:i w:val="0"/>
                <w:color w:val="000000"/>
                <w:kern w:val="0"/>
                <w:sz w:val="22"/>
                <w:szCs w:val="22"/>
                <w:u w:val="none"/>
                <w:lang w:val="en-US" w:eastAsia="zh-CN" w:bidi="ar"/>
              </w:rPr>
            </w:pPr>
            <w:r>
              <w:rPr>
                <w:rFonts w:hint="default" w:ascii="Times New Roman" w:hAnsi="Times New Roman" w:eastAsia="仿宋_GB2312" w:cs="Times New Roman"/>
                <w:b w:val="0"/>
                <w:bCs w:val="0"/>
                <w:sz w:val="21"/>
                <w:szCs w:val="21"/>
                <w:vertAlign w:val="baseline"/>
                <w:lang w:val="en-US" w:eastAsia="zh-CN"/>
              </w:rPr>
              <w:t>商务、公安、生态环境、交通运输、应急管理、市场监管、消防救援、税务部门</w:t>
            </w:r>
          </w:p>
        </w:tc>
        <w:tc>
          <w:tcPr>
            <w:tcW w:w="233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《国务院对确需保留的行政审批项目设定行政许可的决定》《国各院关于取消和下放一批行政许可事项的决定》</w:t>
            </w:r>
            <w:r>
              <w:rPr>
                <w:rFonts w:hint="eastAsia" w:eastAsia="仿宋_GB2312" w:cs="Times New Roman"/>
                <w:b w:val="0"/>
                <w:bCs w:val="0"/>
                <w:sz w:val="21"/>
                <w:szCs w:val="21"/>
                <w:vertAlign w:val="baseline"/>
                <w:lang w:val="en-US" w:eastAsia="zh-CN"/>
              </w:rPr>
              <w:t>《自治区商务厅等九部门关于印发&lt;宁夏回族自治区成品油流通行业安全生产监管规定&gt;的通知》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8" w:hRule="atLeast"/>
        </w:trPr>
        <w:tc>
          <w:tcPr>
            <w:tcW w:w="645" w:type="dxa"/>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default"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4</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bCs/>
                <w:sz w:val="21"/>
                <w:szCs w:val="21"/>
                <w:lang w:val="en-US" w:eastAsia="zh-CN"/>
              </w:rPr>
              <w:t>新车销售</w:t>
            </w:r>
          </w:p>
        </w:tc>
        <w:tc>
          <w:tcPr>
            <w:tcW w:w="447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企业销售行为规范情况；落实安全主体责任情况。</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新车销售市场经营主体</w:t>
            </w:r>
          </w:p>
        </w:tc>
        <w:tc>
          <w:tcPr>
            <w:tcW w:w="1077"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sz w:val="22"/>
                <w:szCs w:val="22"/>
                <w:lang w:eastAsia="zh-CN"/>
              </w:rPr>
            </w:pPr>
            <w:r>
              <w:rPr>
                <w:rFonts w:hint="default" w:ascii="Times New Roman" w:hAnsi="Times New Roman" w:eastAsia="仿宋_GB2312" w:cs="Times New Roman"/>
                <w:b w:val="0"/>
                <w:bCs w:val="0"/>
                <w:sz w:val="21"/>
                <w:szCs w:val="21"/>
                <w:vertAlign w:val="baseline"/>
                <w:lang w:val="en-US" w:eastAsia="zh-CN"/>
              </w:rPr>
              <w:t>一般检查事项</w:t>
            </w:r>
          </w:p>
        </w:tc>
        <w:tc>
          <w:tcPr>
            <w:tcW w:w="1078"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现场检查</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书面检查</w:t>
            </w:r>
          </w:p>
        </w:tc>
        <w:tc>
          <w:tcPr>
            <w:tcW w:w="114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val="0"/>
                <w:bCs/>
                <w:i w:val="0"/>
                <w:color w:val="000000"/>
                <w:kern w:val="0"/>
                <w:sz w:val="22"/>
                <w:szCs w:val="22"/>
                <w:u w:val="none"/>
                <w:lang w:val="en-US" w:eastAsia="zh-CN" w:bidi="ar"/>
              </w:rPr>
            </w:pPr>
            <w:r>
              <w:rPr>
                <w:rFonts w:hint="default" w:ascii="Times New Roman" w:hAnsi="Times New Roman" w:eastAsia="仿宋_GB2312" w:cs="Times New Roman"/>
                <w:b w:val="0"/>
                <w:bCs w:val="0"/>
                <w:sz w:val="21"/>
                <w:szCs w:val="21"/>
                <w:vertAlign w:val="baseline"/>
                <w:lang w:val="en-US" w:eastAsia="zh-CN"/>
              </w:rPr>
              <w:t>商务、市场监管部门</w:t>
            </w:r>
          </w:p>
        </w:tc>
        <w:tc>
          <w:tcPr>
            <w:tcW w:w="233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《汽车销售管理办法》《全市商务系统安全生产治本攻坚三年行动方案（2024-2026年）》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8" w:hRule="atLeast"/>
        </w:trPr>
        <w:tc>
          <w:tcPr>
            <w:tcW w:w="645" w:type="dxa"/>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spacing w:line="180" w:lineRule="exact"/>
              <w:jc w:val="center"/>
              <w:rPr>
                <w:rFonts w:hint="eastAsia" w:ascii="仿宋_GB2312" w:hAnsi="仿宋_GB2312" w:eastAsia="仿宋_GB2312" w:cs="仿宋_GB2312"/>
                <w:color w:val="000000"/>
                <w:sz w:val="22"/>
                <w:szCs w:val="22"/>
                <w:lang w:val="en-US" w:eastAsia="zh-CN"/>
              </w:rPr>
            </w:pP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bCs/>
                <w:sz w:val="21"/>
                <w:szCs w:val="21"/>
                <w:lang w:val="en-US" w:eastAsia="zh-CN"/>
              </w:rPr>
              <w:t>从事拍卖业务</w:t>
            </w:r>
          </w:p>
        </w:tc>
        <w:tc>
          <w:tcPr>
            <w:tcW w:w="447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依法取得从事拍卖业务许可的企业经营行为。</w:t>
            </w:r>
          </w:p>
        </w:tc>
        <w:tc>
          <w:tcPr>
            <w:tcW w:w="125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经备案的拍卖企业</w:t>
            </w:r>
          </w:p>
        </w:tc>
        <w:tc>
          <w:tcPr>
            <w:tcW w:w="1077"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sz w:val="22"/>
                <w:szCs w:val="22"/>
                <w:lang w:eastAsia="zh-CN"/>
              </w:rPr>
            </w:pPr>
            <w:r>
              <w:rPr>
                <w:rFonts w:hint="default" w:ascii="Times New Roman" w:hAnsi="Times New Roman" w:eastAsia="仿宋_GB2312" w:cs="Times New Roman"/>
                <w:b w:val="0"/>
                <w:bCs w:val="0"/>
                <w:sz w:val="21"/>
                <w:szCs w:val="21"/>
                <w:vertAlign w:val="baseline"/>
                <w:lang w:val="en-US" w:eastAsia="zh-CN"/>
              </w:rPr>
              <w:t>一般检查事项</w:t>
            </w:r>
          </w:p>
        </w:tc>
        <w:tc>
          <w:tcPr>
            <w:tcW w:w="1078"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现场检查</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书面检查</w:t>
            </w:r>
          </w:p>
        </w:tc>
        <w:tc>
          <w:tcPr>
            <w:tcW w:w="1145"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b w:val="0"/>
                <w:bCs/>
                <w:i w:val="0"/>
                <w:color w:val="000000"/>
                <w:kern w:val="0"/>
                <w:sz w:val="22"/>
                <w:szCs w:val="22"/>
                <w:u w:val="none"/>
                <w:lang w:val="en-US" w:eastAsia="zh-CN" w:bidi="ar"/>
              </w:rPr>
            </w:pPr>
            <w:r>
              <w:rPr>
                <w:rFonts w:hint="default" w:ascii="Times New Roman" w:hAnsi="Times New Roman" w:eastAsia="仿宋_GB2312" w:cs="Times New Roman"/>
                <w:b w:val="0"/>
                <w:bCs w:val="0"/>
                <w:sz w:val="21"/>
                <w:szCs w:val="21"/>
                <w:vertAlign w:val="baseline"/>
                <w:lang w:val="en-US" w:eastAsia="zh-CN"/>
              </w:rPr>
              <w:t>利通区商务和投资促进局</w:t>
            </w:r>
          </w:p>
        </w:tc>
        <w:tc>
          <w:tcPr>
            <w:tcW w:w="2332" w:type="dxa"/>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color w:val="000000"/>
                <w:kern w:val="0"/>
                <w:sz w:val="22"/>
                <w:szCs w:val="22"/>
                <w:lang w:val="en-US" w:eastAsia="zh-CN" w:bidi="ar"/>
              </w:rPr>
            </w:pPr>
            <w:r>
              <w:rPr>
                <w:rFonts w:hint="default" w:ascii="Times New Roman" w:hAnsi="Times New Roman" w:eastAsia="仿宋_GB2312" w:cs="Times New Roman"/>
                <w:b w:val="0"/>
                <w:bCs w:val="0"/>
                <w:sz w:val="21"/>
                <w:szCs w:val="21"/>
                <w:vertAlign w:val="baseline"/>
                <w:lang w:val="en-US" w:eastAsia="zh-CN"/>
              </w:rPr>
              <w:t>《拍卖法》《拍卖管理办法》</w:t>
            </w:r>
          </w:p>
        </w:tc>
      </w:tr>
    </w:tbl>
    <w:p>
      <w:pPr>
        <w:pStyle w:val="2"/>
        <w:rPr>
          <w:rFonts w:hint="default" w:ascii="Nimbus Roman No9 L" w:hAnsi="Nimbus Roman No9 L" w:eastAsia="方正小标宋_GBK" w:cs="Nimbus Roman No9 L"/>
          <w:color w:val="000000"/>
          <w:kern w:val="0"/>
          <w:sz w:val="44"/>
          <w:szCs w:val="44"/>
          <w:lang w:bidi="ar"/>
        </w:rPr>
      </w:pPr>
    </w:p>
    <w:p>
      <w:pPr>
        <w:rPr>
          <w:rFonts w:hint="default" w:ascii="Nimbus Roman No9 L" w:hAnsi="Nimbus Roman No9 L" w:eastAsia="方正小标宋_GBK" w:cs="Nimbus Roman No9 L"/>
          <w:color w:val="000000"/>
          <w:kern w:val="0"/>
          <w:sz w:val="44"/>
          <w:szCs w:val="44"/>
          <w:lang w:bidi="ar"/>
        </w:rPr>
      </w:pPr>
    </w:p>
    <w:p>
      <w:pPr>
        <w:pStyle w:val="2"/>
        <w:rPr>
          <w:rFonts w:hint="default" w:ascii="Nimbus Roman No9 L" w:hAnsi="Nimbus Roman No9 L" w:eastAsia="方正小标宋_GBK" w:cs="Nimbus Roman No9 L"/>
          <w:color w:val="000000"/>
          <w:kern w:val="0"/>
          <w:sz w:val="44"/>
          <w:szCs w:val="44"/>
          <w:lang w:bidi="ar"/>
        </w:rPr>
      </w:pPr>
    </w:p>
    <w:p>
      <w:pPr>
        <w:rPr>
          <w:rFonts w:hint="default" w:ascii="Nimbus Roman No9 L" w:hAnsi="Nimbus Roman No9 L" w:eastAsia="方正小标宋_GBK" w:cs="Nimbus Roman No9 L"/>
          <w:color w:val="000000"/>
          <w:kern w:val="0"/>
          <w:sz w:val="44"/>
          <w:szCs w:val="44"/>
          <w:lang w:bidi="ar"/>
        </w:rPr>
      </w:pPr>
    </w:p>
    <w:p>
      <w:pPr>
        <w:pStyle w:val="2"/>
        <w:rPr>
          <w:rFonts w:hint="default" w:ascii="Nimbus Roman No9 L" w:hAnsi="Nimbus Roman No9 L" w:eastAsia="方正小标宋_GBK" w:cs="Nimbus Roman No9 L"/>
          <w:color w:val="000000"/>
          <w:kern w:val="0"/>
          <w:sz w:val="44"/>
          <w:szCs w:val="44"/>
          <w:lang w:bidi="ar"/>
        </w:rPr>
      </w:pPr>
    </w:p>
    <w:p>
      <w:pPr>
        <w:rPr>
          <w:rFonts w:hint="default" w:ascii="Nimbus Roman No9 L" w:hAnsi="Nimbus Roman No9 L" w:eastAsia="方正小标宋_GBK" w:cs="Nimbus Roman No9 L"/>
          <w:color w:val="000000"/>
          <w:kern w:val="0"/>
          <w:sz w:val="44"/>
          <w:szCs w:val="44"/>
          <w:lang w:bidi="ar"/>
        </w:rPr>
      </w:pPr>
    </w:p>
    <w:p>
      <w:pPr>
        <w:numPr>
          <w:ilvl w:val="0"/>
          <w:numId w:val="0"/>
        </w:numPr>
        <w:jc w:val="center"/>
        <w:rPr>
          <w:rFonts w:hint="eastAsia"/>
          <w:lang w:val="en-US" w:eastAsia="zh-CN"/>
        </w:rPr>
      </w:pPr>
      <w:r>
        <w:rPr>
          <w:rFonts w:hint="eastAsia" w:ascii="方正小标宋简体" w:hAnsi="方正小标宋简体" w:eastAsia="方正小标宋简体" w:cs="方正小标宋简体"/>
          <w:b w:val="0"/>
          <w:bCs/>
          <w:sz w:val="44"/>
          <w:szCs w:val="44"/>
          <w:lang w:val="en-US" w:eastAsia="zh-CN"/>
        </w:rPr>
        <w:t>利通区商务和投资促进局音像记录事项清单</w:t>
      </w:r>
    </w:p>
    <w:tbl>
      <w:tblPr>
        <w:tblStyle w:val="8"/>
        <w:tblpPr w:leftFromText="180" w:rightFromText="180" w:vertAnchor="text" w:horzAnchor="page" w:tblpX="1221" w:tblpY="990"/>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78"/>
        <w:gridCol w:w="1327"/>
        <w:gridCol w:w="4639"/>
        <w:gridCol w:w="1192"/>
        <w:gridCol w:w="1894"/>
        <w:gridCol w:w="1069"/>
        <w:gridCol w:w="1425"/>
        <w:gridCol w:w="1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jc w:val="center"/>
        </w:trPr>
        <w:tc>
          <w:tcPr>
            <w:tcW w:w="13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both"/>
              <w:textAlignment w:val="center"/>
              <w:rPr>
                <w:rFonts w:hint="eastAsia" w:ascii="黑体" w:hAnsi="黑体" w:eastAsia="黑体" w:cs="黑体"/>
                <w:b w:val="0"/>
                <w:bCs w:val="0"/>
                <w:i w:val="0"/>
                <w:color w:val="000000"/>
                <w:kern w:val="0"/>
                <w:sz w:val="22"/>
                <w:szCs w:val="22"/>
                <w:u w:val="none"/>
                <w:lang w:val="en-US" w:eastAsia="zh-CN" w:bidi="ar"/>
              </w:rPr>
            </w:pPr>
            <w:r>
              <w:rPr>
                <w:rFonts w:hint="eastAsia" w:ascii="黑体" w:hAnsi="黑体" w:eastAsia="黑体" w:cs="黑体"/>
                <w:b w:val="0"/>
                <w:bCs w:val="0"/>
                <w:i w:val="0"/>
                <w:color w:val="000000"/>
                <w:kern w:val="0"/>
                <w:sz w:val="22"/>
                <w:szCs w:val="22"/>
                <w:u w:val="none"/>
                <w:lang w:val="en-US" w:eastAsia="zh-CN" w:bidi="ar"/>
              </w:rPr>
              <w:t>执法类别</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2"/>
                <w:szCs w:val="22"/>
                <w:u w:val="none"/>
              </w:rPr>
            </w:pPr>
            <w:r>
              <w:rPr>
                <w:rFonts w:hint="eastAsia" w:ascii="黑体" w:hAnsi="黑体" w:eastAsia="黑体" w:cs="黑体"/>
                <w:b w:val="0"/>
                <w:bCs w:val="0"/>
                <w:i w:val="0"/>
                <w:color w:val="000000"/>
                <w:kern w:val="0"/>
                <w:sz w:val="22"/>
                <w:szCs w:val="22"/>
                <w:u w:val="none"/>
                <w:lang w:val="en-US" w:eastAsia="zh-CN" w:bidi="ar"/>
              </w:rPr>
              <w:t>执法事项</w:t>
            </w:r>
          </w:p>
        </w:tc>
        <w:tc>
          <w:tcPr>
            <w:tcW w:w="46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2"/>
                <w:szCs w:val="22"/>
                <w:u w:val="none"/>
              </w:rPr>
            </w:pPr>
            <w:r>
              <w:rPr>
                <w:rFonts w:hint="eastAsia" w:ascii="黑体" w:hAnsi="黑体" w:eastAsia="黑体" w:cs="黑体"/>
                <w:b w:val="0"/>
                <w:bCs w:val="0"/>
                <w:i w:val="0"/>
                <w:color w:val="000000"/>
                <w:kern w:val="0"/>
                <w:sz w:val="22"/>
                <w:szCs w:val="22"/>
                <w:u w:val="none"/>
                <w:lang w:val="en-US" w:eastAsia="zh-CN" w:bidi="ar"/>
              </w:rPr>
              <w:t>记录事项</w:t>
            </w:r>
          </w:p>
        </w:tc>
        <w:tc>
          <w:tcPr>
            <w:tcW w:w="1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2"/>
                <w:szCs w:val="22"/>
                <w:u w:val="none"/>
              </w:rPr>
            </w:pPr>
            <w:r>
              <w:rPr>
                <w:rFonts w:hint="eastAsia" w:ascii="黑体" w:hAnsi="黑体" w:eastAsia="黑体" w:cs="黑体"/>
                <w:b w:val="0"/>
                <w:bCs w:val="0"/>
                <w:i w:val="0"/>
                <w:color w:val="000000"/>
                <w:kern w:val="0"/>
                <w:sz w:val="22"/>
                <w:szCs w:val="22"/>
                <w:u w:val="none"/>
                <w:lang w:val="en-US" w:eastAsia="zh-CN" w:bidi="ar"/>
              </w:rPr>
              <w:t>记录场所</w:t>
            </w:r>
          </w:p>
        </w:tc>
        <w:tc>
          <w:tcPr>
            <w:tcW w:w="18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2"/>
                <w:szCs w:val="22"/>
                <w:u w:val="none"/>
              </w:rPr>
            </w:pPr>
            <w:r>
              <w:rPr>
                <w:rFonts w:hint="eastAsia" w:ascii="黑体" w:hAnsi="黑体" w:eastAsia="黑体" w:cs="黑体"/>
                <w:b w:val="0"/>
                <w:bCs w:val="0"/>
                <w:i w:val="0"/>
                <w:color w:val="000000"/>
                <w:kern w:val="0"/>
                <w:sz w:val="22"/>
                <w:szCs w:val="22"/>
                <w:u w:val="none"/>
                <w:lang w:val="en-US" w:eastAsia="zh-CN" w:bidi="ar"/>
              </w:rPr>
              <w:t>执法部门</w:t>
            </w:r>
          </w:p>
        </w:tc>
        <w:tc>
          <w:tcPr>
            <w:tcW w:w="1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2"/>
                <w:szCs w:val="22"/>
                <w:u w:val="none"/>
              </w:rPr>
            </w:pPr>
            <w:r>
              <w:rPr>
                <w:rFonts w:hint="eastAsia" w:ascii="黑体" w:hAnsi="黑体" w:eastAsia="黑体" w:cs="黑体"/>
                <w:b w:val="0"/>
                <w:bCs w:val="0"/>
                <w:i w:val="0"/>
                <w:color w:val="000000"/>
                <w:kern w:val="0"/>
                <w:sz w:val="22"/>
                <w:szCs w:val="22"/>
                <w:u w:val="none"/>
                <w:lang w:val="en-US" w:eastAsia="zh-CN" w:bidi="ar"/>
              </w:rPr>
              <w:t>记录人</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2"/>
                <w:szCs w:val="22"/>
                <w:u w:val="none"/>
              </w:rPr>
            </w:pPr>
            <w:r>
              <w:rPr>
                <w:rFonts w:hint="eastAsia" w:ascii="黑体" w:hAnsi="黑体" w:eastAsia="黑体" w:cs="黑体"/>
                <w:b w:val="0"/>
                <w:bCs w:val="0"/>
                <w:i w:val="0"/>
                <w:color w:val="000000"/>
                <w:kern w:val="0"/>
                <w:sz w:val="22"/>
                <w:szCs w:val="22"/>
                <w:u w:val="none"/>
                <w:lang w:val="en-US" w:eastAsia="zh-CN" w:bidi="ar"/>
              </w:rPr>
              <w:t>记录过程</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kern w:val="0"/>
                <w:sz w:val="22"/>
                <w:szCs w:val="22"/>
                <w:u w:val="none"/>
                <w:lang w:val="en-US" w:eastAsia="zh-CN" w:bidi="ar"/>
              </w:rPr>
            </w:pPr>
            <w:r>
              <w:rPr>
                <w:rFonts w:hint="eastAsia" w:ascii="黑体" w:hAnsi="黑体" w:eastAsia="黑体" w:cs="黑体"/>
                <w:b w:val="0"/>
                <w:bCs w:val="0"/>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9" w:hRule="atLeast"/>
          <w:jc w:val="center"/>
        </w:trPr>
        <w:tc>
          <w:tcPr>
            <w:tcW w:w="13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行政处罚</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调查（询问）</w:t>
            </w:r>
          </w:p>
        </w:tc>
        <w:tc>
          <w:tcPr>
            <w:tcW w:w="46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对询问时间、进入调查询问场所、表明执法人员身份、出示执法证件、说明询问事项及当事人的权利、具体询问过程等各环节进行全过程记录。</w:t>
            </w:r>
          </w:p>
        </w:tc>
        <w:tc>
          <w:tcPr>
            <w:tcW w:w="1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调查场所</w:t>
            </w:r>
          </w:p>
        </w:tc>
        <w:tc>
          <w:tcPr>
            <w:tcW w:w="18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利通商务和投资促进局各室（商贸发展服务中心）</w:t>
            </w:r>
          </w:p>
        </w:tc>
        <w:tc>
          <w:tcPr>
            <w:tcW w:w="1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行政执法</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人员</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询问开始</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至结束</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4" w:hRule="atLeast"/>
          <w:jc w:val="center"/>
        </w:trPr>
        <w:tc>
          <w:tcPr>
            <w:tcW w:w="13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行政处罚</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现场检查</w:t>
            </w:r>
          </w:p>
        </w:tc>
        <w:tc>
          <w:tcPr>
            <w:tcW w:w="46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对检查起止时间、进入检查场所、表明执法人员身份、现场检查过程、询问过程、调取证据资料、证人证言采集以及当事人拒绝检查等各个环节进行全过程记录。</w:t>
            </w:r>
          </w:p>
        </w:tc>
        <w:tc>
          <w:tcPr>
            <w:tcW w:w="1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检查现场</w:t>
            </w:r>
          </w:p>
        </w:tc>
        <w:tc>
          <w:tcPr>
            <w:tcW w:w="18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利通商务和投资促进局各室（商贸发展服务中心）</w:t>
            </w:r>
          </w:p>
        </w:tc>
        <w:tc>
          <w:tcPr>
            <w:tcW w:w="1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行政执法</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人员</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检查开始</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至结束</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2" w:hRule="atLeast"/>
          <w:jc w:val="center"/>
        </w:trPr>
        <w:tc>
          <w:tcPr>
            <w:tcW w:w="13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行政处罚</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先行登记保存证据</w:t>
            </w:r>
          </w:p>
        </w:tc>
        <w:tc>
          <w:tcPr>
            <w:tcW w:w="46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对先行登记保存证据措施实施的各个环节进行全过程记录。</w:t>
            </w:r>
          </w:p>
        </w:tc>
        <w:tc>
          <w:tcPr>
            <w:tcW w:w="1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取证现场</w:t>
            </w:r>
          </w:p>
        </w:tc>
        <w:tc>
          <w:tcPr>
            <w:tcW w:w="18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利通商务和投资促进局各室（商贸发展服务中心）</w:t>
            </w:r>
          </w:p>
        </w:tc>
        <w:tc>
          <w:tcPr>
            <w:tcW w:w="1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行政执法</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人员</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登记保存开始至结束</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5" w:hRule="atLeast"/>
          <w:jc w:val="center"/>
        </w:trPr>
        <w:tc>
          <w:tcPr>
            <w:tcW w:w="13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行政处罚</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听证</w:t>
            </w:r>
          </w:p>
        </w:tc>
        <w:tc>
          <w:tcPr>
            <w:tcW w:w="46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听证时间、地点、人员、听证过程等情况</w:t>
            </w:r>
          </w:p>
        </w:tc>
        <w:tc>
          <w:tcPr>
            <w:tcW w:w="1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听证现场</w:t>
            </w:r>
          </w:p>
        </w:tc>
        <w:tc>
          <w:tcPr>
            <w:tcW w:w="18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利通商务和投资促进局各室（商贸发展服务中心）</w:t>
            </w:r>
          </w:p>
        </w:tc>
        <w:tc>
          <w:tcPr>
            <w:tcW w:w="1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行政执法</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人员</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听证全</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过程</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26" w:hRule="atLeast"/>
          <w:jc w:val="center"/>
        </w:trPr>
        <w:tc>
          <w:tcPr>
            <w:tcW w:w="13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行政处罚</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责令改正</w:t>
            </w:r>
          </w:p>
        </w:tc>
        <w:tc>
          <w:tcPr>
            <w:tcW w:w="46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对当事人违法违规行为改正情况进行全过程记录。</w:t>
            </w:r>
          </w:p>
        </w:tc>
        <w:tc>
          <w:tcPr>
            <w:tcW w:w="1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检查现场</w:t>
            </w:r>
          </w:p>
        </w:tc>
        <w:tc>
          <w:tcPr>
            <w:tcW w:w="18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利通商务和投资促进局各室（商贸发展服务中心）</w:t>
            </w:r>
          </w:p>
        </w:tc>
        <w:tc>
          <w:tcPr>
            <w:tcW w:w="1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行政执法</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人员</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执行全</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过程</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5" w:hRule="atLeast"/>
          <w:jc w:val="center"/>
        </w:trPr>
        <w:tc>
          <w:tcPr>
            <w:tcW w:w="13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行政处罚</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送达</w:t>
            </w:r>
          </w:p>
        </w:tc>
        <w:tc>
          <w:tcPr>
            <w:tcW w:w="46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对送达的各个环节进行全过程记录。</w:t>
            </w:r>
          </w:p>
        </w:tc>
        <w:tc>
          <w:tcPr>
            <w:tcW w:w="1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送达场所</w:t>
            </w:r>
          </w:p>
        </w:tc>
        <w:tc>
          <w:tcPr>
            <w:tcW w:w="18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利通商务和投资促进局各室（商贸发展服务中心）</w:t>
            </w:r>
          </w:p>
        </w:tc>
        <w:tc>
          <w:tcPr>
            <w:tcW w:w="10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行政执法</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人员</w:t>
            </w:r>
          </w:p>
        </w:tc>
        <w:tc>
          <w:tcPr>
            <w:tcW w:w="14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送达开始 至结束</w:t>
            </w: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仿宋_GB2312" w:hAnsi="仿宋_GB2312" w:eastAsia="仿宋_GB2312" w:cs="仿宋_GB2312"/>
                <w:i w:val="0"/>
                <w:color w:val="000000"/>
                <w:kern w:val="0"/>
                <w:sz w:val="22"/>
                <w:szCs w:val="22"/>
                <w:u w:val="none"/>
                <w:lang w:val="en-US" w:eastAsia="zh-CN" w:bidi="ar"/>
              </w:rPr>
            </w:pPr>
          </w:p>
        </w:tc>
      </w:tr>
    </w:tbl>
    <w:p>
      <w:pPr>
        <w:jc w:val="center"/>
        <w:rPr>
          <w:rFonts w:hint="eastAsia" w:ascii="方正小标宋简体" w:hAnsi="方正小标宋简体" w:eastAsia="方正小标宋简体" w:cs="方正小标宋简体"/>
          <w:b w:val="0"/>
          <w:bCs/>
          <w:sz w:val="44"/>
          <w:szCs w:val="44"/>
          <w:lang w:val="en-US" w:eastAsia="zh-CN"/>
        </w:rPr>
      </w:pPr>
    </w:p>
    <w:p>
      <w:pPr>
        <w:jc w:val="center"/>
        <w:rPr>
          <w:rFonts w:hint="eastAsia" w:ascii="方正小标宋简体" w:hAnsi="方正小标宋简体" w:eastAsia="方正小标宋简体" w:cs="方正小标宋简体"/>
          <w:b w:val="0"/>
          <w:bCs/>
          <w:sz w:val="44"/>
          <w:szCs w:val="44"/>
          <w:lang w:val="en-US" w:eastAsia="zh-CN"/>
        </w:rPr>
      </w:pPr>
    </w:p>
    <w:p>
      <w:pPr>
        <w:jc w:val="center"/>
        <w:rPr>
          <w:rFonts w:hint="eastAsia" w:ascii="方正小标宋简体" w:hAnsi="方正小标宋简体" w:eastAsia="方正小标宋简体" w:cs="方正小标宋简体"/>
          <w:b w:val="0"/>
          <w:bCs/>
          <w:sz w:val="44"/>
          <w:szCs w:val="44"/>
          <w:lang w:val="en-US" w:eastAsia="zh-CN"/>
        </w:rPr>
      </w:pPr>
    </w:p>
    <w:p>
      <w:pPr>
        <w:jc w:val="center"/>
        <w:rPr>
          <w:rFonts w:hint="eastAsia" w:ascii="方正小标宋简体" w:hAnsi="方正小标宋简体" w:eastAsia="方正小标宋简体" w:cs="方正小标宋简体"/>
          <w:b w:val="0"/>
          <w:bCs/>
          <w:sz w:val="44"/>
          <w:szCs w:val="44"/>
          <w:lang w:val="en-US" w:eastAsia="zh-CN"/>
        </w:rPr>
      </w:pPr>
    </w:p>
    <w:p>
      <w:pPr>
        <w:jc w:val="center"/>
        <w:rPr>
          <w:rFonts w:hint="eastAsia" w:ascii="方正小标宋简体" w:hAnsi="方正小标宋简体" w:eastAsia="方正小标宋简体" w:cs="方正小标宋简体"/>
          <w:b w:val="0"/>
          <w:bCs/>
          <w:sz w:val="44"/>
          <w:szCs w:val="44"/>
          <w:lang w:val="en-US" w:eastAsia="zh-CN"/>
        </w:rPr>
      </w:pPr>
    </w:p>
    <w:p>
      <w:pPr>
        <w:jc w:val="center"/>
        <w:rPr>
          <w:rFonts w:hint="eastAsia" w:ascii="方正小标宋简体" w:hAnsi="方正小标宋简体" w:eastAsia="方正小标宋简体" w:cs="方正小标宋简体"/>
          <w:b w:val="0"/>
          <w:bCs/>
          <w:sz w:val="44"/>
          <w:szCs w:val="44"/>
          <w:lang w:val="en-US" w:eastAsia="zh-CN"/>
        </w:rPr>
      </w:pPr>
    </w:p>
    <w:p>
      <w:pPr>
        <w:pStyle w:val="2"/>
        <w:rPr>
          <w:rFonts w:hint="eastAsia"/>
          <w:lang w:val="en-US" w:eastAsia="zh-CN"/>
        </w:rPr>
      </w:pPr>
    </w:p>
    <w:p>
      <w:pPr>
        <w:jc w:val="center"/>
        <w:rPr>
          <w:rFonts w:hint="eastAsia" w:ascii="方正小标宋简体" w:hAnsi="方正小标宋简体" w:eastAsia="方正小标宋简体" w:cs="方正小标宋简体"/>
          <w:b w:val="0"/>
          <w:bCs/>
          <w:sz w:val="44"/>
          <w:szCs w:val="44"/>
          <w:lang w:val="en-US" w:eastAsia="zh-CN"/>
        </w:rPr>
      </w:pPr>
    </w:p>
    <w:p>
      <w:pPr>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val="en-US" w:eastAsia="zh-CN"/>
        </w:rPr>
        <w:t>利通区商务和投资促进局</w:t>
      </w:r>
      <w:r>
        <w:rPr>
          <w:rFonts w:hint="eastAsia" w:ascii="方正小标宋简体" w:hAnsi="方正小标宋简体" w:eastAsia="方正小标宋简体" w:cs="方正小标宋简体"/>
          <w:b w:val="0"/>
          <w:bCs/>
          <w:sz w:val="44"/>
          <w:szCs w:val="44"/>
        </w:rPr>
        <w:t>重大执法决定法制审核机构和人员登记表</w:t>
      </w:r>
    </w:p>
    <w:p>
      <w:pPr>
        <w:spacing w:line="240" w:lineRule="exact"/>
        <w:jc w:val="center"/>
        <w:rPr>
          <w:rFonts w:ascii="仿宋_GB2312" w:hAnsi="黑体" w:eastAsia="仿宋_GB2312"/>
          <w:b/>
          <w:sz w:val="32"/>
          <w:szCs w:val="32"/>
        </w:rPr>
      </w:pPr>
    </w:p>
    <w:tbl>
      <w:tblPr>
        <w:tblStyle w:val="9"/>
        <w:tblW w:w="132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1"/>
        <w:gridCol w:w="705"/>
        <w:gridCol w:w="1365"/>
        <w:gridCol w:w="1335"/>
        <w:gridCol w:w="1117"/>
        <w:gridCol w:w="1676"/>
        <w:gridCol w:w="1519"/>
        <w:gridCol w:w="1957"/>
        <w:gridCol w:w="1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法制审核</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机构</w:t>
            </w:r>
          </w:p>
        </w:tc>
        <w:tc>
          <w:tcPr>
            <w:tcW w:w="340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主要职责</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人员编制数</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实有人数</w:t>
            </w:r>
          </w:p>
        </w:tc>
        <w:tc>
          <w:tcPr>
            <w:tcW w:w="1519"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占单位</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执法</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人数比例</w:t>
            </w:r>
          </w:p>
        </w:tc>
        <w:tc>
          <w:tcPr>
            <w:tcW w:w="195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负责人</w:t>
            </w: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黑体" w:hAnsi="黑体" w:eastAsia="黑体" w:cs="黑体"/>
                <w:b w:val="0"/>
                <w:bCs w:val="0"/>
                <w:sz w:val="24"/>
                <w:szCs w:val="24"/>
              </w:rPr>
            </w:pPr>
            <w:r>
              <w:rPr>
                <w:rFonts w:hint="eastAsia" w:ascii="黑体" w:hAnsi="黑体" w:eastAsia="黑体" w:cs="黑体"/>
                <w:b w:val="0"/>
                <w:bCs w:val="0"/>
                <w:sz w:val="24"/>
                <w:szCs w:val="24"/>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7" w:hRule="atLeast"/>
          <w:jc w:val="center"/>
        </w:trPr>
        <w:tc>
          <w:tcPr>
            <w:tcW w:w="18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u w:val="none"/>
                <w:lang w:val="en-US" w:eastAsia="zh-CN" w:bidi="ar"/>
              </w:rPr>
              <w:t>利通工业和信息化局</w:t>
            </w:r>
          </w:p>
        </w:tc>
        <w:tc>
          <w:tcPr>
            <w:tcW w:w="340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重大执法决定法制审核</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2</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2</w:t>
            </w:r>
          </w:p>
        </w:tc>
        <w:tc>
          <w:tcPr>
            <w:tcW w:w="15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50%</w:t>
            </w:r>
          </w:p>
        </w:tc>
        <w:tc>
          <w:tcPr>
            <w:tcW w:w="195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cs="仿宋_GB2312"/>
                <w:sz w:val="24"/>
                <w:szCs w:val="24"/>
                <w:lang w:val="en-US" w:eastAsia="zh-CN"/>
              </w:rPr>
              <w:t>王婷婷</w:t>
            </w: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0953-</w:t>
            </w:r>
            <w:r>
              <w:rPr>
                <w:rFonts w:hint="eastAsia" w:ascii="仿宋_GB2312" w:hAnsi="仿宋_GB2312" w:cs="仿宋_GB2312"/>
                <w:sz w:val="24"/>
                <w:szCs w:val="24"/>
                <w:lang w:val="en-US" w:eastAsia="zh-CN"/>
              </w:rPr>
              <w:t>2666679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6" w:hRule="atLeast"/>
          <w:jc w:val="center"/>
        </w:trPr>
        <w:tc>
          <w:tcPr>
            <w:tcW w:w="18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法制审核</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人员姓名</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性别</w:t>
            </w:r>
          </w:p>
        </w:tc>
        <w:tc>
          <w:tcPr>
            <w:tcW w:w="13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出生年月</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学历</w:t>
            </w:r>
          </w:p>
        </w:tc>
        <w:tc>
          <w:tcPr>
            <w:tcW w:w="27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是否通过国家统一法律职业资格考试</w:t>
            </w:r>
          </w:p>
        </w:tc>
        <w:tc>
          <w:tcPr>
            <w:tcW w:w="151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职务</w:t>
            </w:r>
          </w:p>
        </w:tc>
        <w:tc>
          <w:tcPr>
            <w:tcW w:w="195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毕业院校</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及专业</w:t>
            </w: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jc w:val="center"/>
        </w:trPr>
        <w:tc>
          <w:tcPr>
            <w:tcW w:w="1841"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cs="仿宋_GB2312"/>
                <w:sz w:val="24"/>
                <w:szCs w:val="24"/>
                <w:lang w:val="en-US" w:eastAsia="zh-CN"/>
              </w:rPr>
              <w:t>王婷婷</w:t>
            </w:r>
          </w:p>
        </w:tc>
        <w:tc>
          <w:tcPr>
            <w:tcW w:w="705"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女</w:t>
            </w:r>
          </w:p>
        </w:tc>
        <w:tc>
          <w:tcPr>
            <w:tcW w:w="1365"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sz w:val="24"/>
                <w:szCs w:val="24"/>
                <w:lang w:val="en-US"/>
              </w:rPr>
            </w:pPr>
            <w:r>
              <w:rPr>
                <w:rFonts w:hint="eastAsia" w:ascii="仿宋_GB2312" w:hAnsi="仿宋_GB2312" w:cs="仿宋_GB2312"/>
                <w:sz w:val="24"/>
                <w:szCs w:val="24"/>
                <w:lang w:val="en-US" w:eastAsia="zh-CN"/>
              </w:rPr>
              <w:t>1994.07</w:t>
            </w:r>
          </w:p>
        </w:tc>
        <w:tc>
          <w:tcPr>
            <w:tcW w:w="1335"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cs="仿宋_GB2312"/>
                <w:sz w:val="24"/>
                <w:szCs w:val="24"/>
                <w:lang w:eastAsia="zh-CN"/>
              </w:rPr>
              <w:t>本科</w:t>
            </w:r>
          </w:p>
        </w:tc>
        <w:tc>
          <w:tcPr>
            <w:tcW w:w="279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否</w:t>
            </w:r>
          </w:p>
        </w:tc>
        <w:tc>
          <w:tcPr>
            <w:tcW w:w="1519"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val="0"/>
                <w:bCs w:val="0"/>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cs="仿宋_GB2312"/>
                <w:b w:val="0"/>
                <w:bCs w:val="0"/>
                <w:color w:val="000000"/>
                <w:sz w:val="24"/>
                <w:szCs w:val="24"/>
                <w:lang w:val="en-US" w:eastAsia="zh-CN"/>
              </w:rPr>
              <w:t>副</w:t>
            </w:r>
            <w:r>
              <w:rPr>
                <w:rFonts w:hint="eastAsia" w:ascii="仿宋_GB2312" w:hAnsi="仿宋_GB2312" w:eastAsia="仿宋_GB2312" w:cs="仿宋_GB2312"/>
                <w:b w:val="0"/>
                <w:bCs w:val="0"/>
                <w:color w:val="000000"/>
                <w:sz w:val="24"/>
                <w:szCs w:val="24"/>
                <w:lang w:val="en-US" w:eastAsia="zh-CN"/>
              </w:rPr>
              <w:t>局长</w:t>
            </w:r>
          </w:p>
        </w:tc>
        <w:tc>
          <w:tcPr>
            <w:tcW w:w="1957"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cs="仿宋_GB2312"/>
                <w:sz w:val="24"/>
                <w:szCs w:val="24"/>
                <w:lang w:eastAsia="zh-CN"/>
              </w:rPr>
              <w:t>宁夏大学</w:t>
            </w: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0953-</w:t>
            </w:r>
            <w:r>
              <w:rPr>
                <w:rFonts w:hint="eastAsia" w:ascii="仿宋_GB2312" w:hAnsi="仿宋_GB2312" w:cs="仿宋_GB2312"/>
                <w:sz w:val="24"/>
                <w:szCs w:val="24"/>
                <w:lang w:val="en-US" w:eastAsia="zh-CN"/>
              </w:rPr>
              <w:t>2120761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2" w:hRule="atLeast"/>
          <w:jc w:val="center"/>
        </w:trPr>
        <w:tc>
          <w:tcPr>
            <w:tcW w:w="1841"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cs="仿宋_GB2312"/>
                <w:sz w:val="24"/>
                <w:szCs w:val="24"/>
                <w:lang w:val="en-US" w:eastAsia="zh-CN"/>
              </w:rPr>
              <w:t>马丽娟</w:t>
            </w:r>
          </w:p>
        </w:tc>
        <w:tc>
          <w:tcPr>
            <w:tcW w:w="705"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女</w:t>
            </w:r>
          </w:p>
        </w:tc>
        <w:tc>
          <w:tcPr>
            <w:tcW w:w="1365"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1985.10</w:t>
            </w:r>
          </w:p>
        </w:tc>
        <w:tc>
          <w:tcPr>
            <w:tcW w:w="1335"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本科</w:t>
            </w:r>
          </w:p>
        </w:tc>
        <w:tc>
          <w:tcPr>
            <w:tcW w:w="279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firstLine="960" w:firstLineChars="400"/>
              <w:jc w:val="center"/>
              <w:textAlignment w:val="auto"/>
              <w:outlineLvl w:val="9"/>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ascii="仿宋_GB2312" w:hAnsi="仿宋_GB2312" w:eastAsia="仿宋_GB2312" w:cs="仿宋_GB2312"/>
                <w:sz w:val="24"/>
                <w:szCs w:val="24"/>
              </w:rPr>
            </w:pPr>
            <w:r>
              <w:rPr>
                <w:rFonts w:hint="eastAsia" w:ascii="仿宋_GB2312" w:hAnsi="仿宋_GB2312" w:cs="仿宋_GB2312"/>
                <w:sz w:val="24"/>
                <w:szCs w:val="24"/>
                <w:lang w:val="en-US" w:eastAsia="zh-CN"/>
              </w:rPr>
              <w:t xml:space="preserve">          </w:t>
            </w:r>
            <w:r>
              <w:rPr>
                <w:rFonts w:hint="eastAsia" w:ascii="仿宋_GB2312" w:hAnsi="仿宋_GB2312" w:eastAsia="仿宋_GB2312" w:cs="仿宋_GB2312"/>
                <w:sz w:val="24"/>
                <w:szCs w:val="24"/>
                <w:lang w:eastAsia="zh-CN"/>
              </w:rPr>
              <w:t>否</w:t>
            </w:r>
          </w:p>
        </w:tc>
        <w:tc>
          <w:tcPr>
            <w:tcW w:w="1519"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cs="仿宋_GB2312"/>
                <w:b w:val="0"/>
                <w:bCs w:val="0"/>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val="0"/>
                <w:bCs w:val="0"/>
                <w:color w:val="000000"/>
                <w:sz w:val="24"/>
                <w:szCs w:val="24"/>
                <w:lang w:val="en-US" w:eastAsia="zh-CN"/>
              </w:rPr>
            </w:pPr>
            <w:r>
              <w:rPr>
                <w:rFonts w:hint="eastAsia" w:ascii="仿宋_GB2312" w:hAnsi="仿宋_GB2312" w:cs="仿宋_GB2312"/>
                <w:b w:val="0"/>
                <w:bCs w:val="0"/>
                <w:color w:val="000000"/>
                <w:sz w:val="24"/>
                <w:szCs w:val="24"/>
                <w:lang w:val="en-US" w:eastAsia="zh-CN"/>
              </w:rPr>
              <w:t>副局长</w:t>
            </w:r>
          </w:p>
        </w:tc>
        <w:tc>
          <w:tcPr>
            <w:tcW w:w="1957"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宁夏大学</w:t>
            </w: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0953-2120751</w:t>
            </w:r>
          </w:p>
        </w:tc>
      </w:tr>
    </w:tbl>
    <w:p>
      <w:pPr>
        <w:numPr>
          <w:ilvl w:val="0"/>
          <w:numId w:val="0"/>
        </w:numPr>
        <w:ind w:right="0" w:rightChars="0"/>
        <w:jc w:val="both"/>
        <w:rPr>
          <w:rFonts w:hint="eastAsia" w:ascii="黑体" w:hAnsi="黑体" w:eastAsia="黑体" w:cs="黑体"/>
          <w:b w:val="0"/>
          <w:bCs w:val="0"/>
          <w:lang w:val="en-US" w:eastAsia="zh-CN"/>
        </w:rPr>
      </w:pPr>
    </w:p>
    <w:p>
      <w:pPr>
        <w:rPr>
          <w:rFonts w:hint="default" w:ascii="Times New Roman" w:hAnsi="Times New Roman" w:eastAsia="仿宋_GB2312" w:cs="Times New Roman"/>
          <w:sz w:val="32"/>
          <w:szCs w:val="32"/>
        </w:rPr>
        <w:sectPr>
          <w:pgSz w:w="16838" w:h="11906" w:orient="landscape"/>
          <w:pgMar w:top="1587" w:right="1440" w:bottom="1474" w:left="144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r>
        <w:rPr>
          <w:rFonts w:hint="eastAsia" w:ascii="方正小标宋_GBK" w:hAnsi="方正小标宋_GBK" w:eastAsia="方正小标宋_GBK" w:cs="方正小标宋_GBK"/>
          <w:b w:val="0"/>
          <w:kern w:val="2"/>
          <w:sz w:val="44"/>
          <w:szCs w:val="44"/>
          <w:lang w:val="en-US" w:eastAsia="zh-CN" w:bidi="ar-SA"/>
        </w:rPr>
        <w:t>吴忠市利通商务和投资促进局重大执法决定法制审核目录清单</w:t>
      </w:r>
    </w:p>
    <w:tbl>
      <w:tblPr>
        <w:tblStyle w:val="9"/>
        <w:tblpPr w:leftFromText="180" w:rightFromText="180" w:vertAnchor="text" w:horzAnchor="page" w:tblpXSpec="center" w:tblpY="44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2784"/>
        <w:gridCol w:w="4401"/>
        <w:gridCol w:w="4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2037"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val="0"/>
                <w:kern w:val="2"/>
                <w:sz w:val="32"/>
                <w:szCs w:val="32"/>
                <w:vertAlign w:val="baseline"/>
                <w:lang w:val="en-US" w:eastAsia="zh-CN" w:bidi="ar-SA"/>
              </w:rPr>
            </w:pPr>
            <w:r>
              <w:rPr>
                <w:rFonts w:hint="eastAsia" w:ascii="方正小标宋_GBK" w:hAnsi="方正小标宋_GBK" w:eastAsia="方正小标宋_GBK" w:cs="方正小标宋_GBK"/>
                <w:b w:val="0"/>
                <w:kern w:val="2"/>
                <w:sz w:val="32"/>
                <w:szCs w:val="32"/>
                <w:vertAlign w:val="baseline"/>
                <w:lang w:val="en-US" w:eastAsia="zh-CN" w:bidi="ar-SA"/>
              </w:rPr>
              <w:t>序号</w:t>
            </w:r>
          </w:p>
        </w:tc>
        <w:tc>
          <w:tcPr>
            <w:tcW w:w="2784"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val="0"/>
                <w:kern w:val="2"/>
                <w:sz w:val="32"/>
                <w:szCs w:val="32"/>
                <w:vertAlign w:val="baseline"/>
                <w:lang w:val="en-US" w:eastAsia="zh-CN" w:bidi="ar-SA"/>
              </w:rPr>
            </w:pPr>
            <w:r>
              <w:rPr>
                <w:rFonts w:hint="eastAsia" w:ascii="方正小标宋_GBK" w:hAnsi="方正小标宋_GBK" w:eastAsia="方正小标宋_GBK" w:cs="方正小标宋_GBK"/>
                <w:b w:val="0"/>
                <w:kern w:val="2"/>
                <w:sz w:val="32"/>
                <w:szCs w:val="32"/>
                <w:vertAlign w:val="baseline"/>
                <w:lang w:val="en-US" w:eastAsia="zh-CN" w:bidi="ar-SA"/>
              </w:rPr>
              <w:t>执法类别</w:t>
            </w:r>
          </w:p>
        </w:tc>
        <w:tc>
          <w:tcPr>
            <w:tcW w:w="4401"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32"/>
                <w:szCs w:val="32"/>
                <w:vertAlign w:val="baseline"/>
                <w:lang w:val="en-US" w:eastAsia="zh-CN" w:bidi="ar-SA"/>
              </w:rPr>
            </w:pPr>
            <w:r>
              <w:rPr>
                <w:rFonts w:hint="eastAsia" w:ascii="方正小标宋_GBK" w:hAnsi="方正小标宋_GBK" w:eastAsia="方正小标宋_GBK" w:cs="方正小标宋_GBK"/>
                <w:b w:val="0"/>
                <w:kern w:val="2"/>
                <w:sz w:val="32"/>
                <w:szCs w:val="32"/>
                <w:vertAlign w:val="baseline"/>
                <w:lang w:val="en-US" w:eastAsia="zh-CN" w:bidi="ar-SA"/>
              </w:rPr>
              <w:t>审核的具体执法决定项目</w:t>
            </w:r>
          </w:p>
        </w:tc>
        <w:tc>
          <w:tcPr>
            <w:tcW w:w="4470"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32"/>
                <w:szCs w:val="32"/>
                <w:vertAlign w:val="baseline"/>
                <w:lang w:val="en-US" w:eastAsia="zh-CN" w:bidi="ar-SA"/>
              </w:rPr>
            </w:pPr>
            <w:r>
              <w:rPr>
                <w:rFonts w:hint="eastAsia" w:ascii="方正小标宋_GBK" w:hAnsi="方正小标宋_GBK" w:eastAsia="方正小标宋_GBK" w:cs="方正小标宋_GBK"/>
                <w:b w:val="0"/>
                <w:kern w:val="2"/>
                <w:sz w:val="32"/>
                <w:szCs w:val="32"/>
                <w:vertAlign w:val="baseline"/>
                <w:lang w:val="en-US" w:eastAsia="zh-CN" w:bidi="ar-SA"/>
              </w:rPr>
              <w:t>审核内容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037"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val="0"/>
                <w:kern w:val="2"/>
                <w:sz w:val="32"/>
                <w:szCs w:val="32"/>
                <w:vertAlign w:val="baseline"/>
                <w:lang w:val="en-US" w:eastAsia="zh-CN" w:bidi="ar-SA"/>
              </w:rPr>
            </w:pPr>
            <w:r>
              <w:rPr>
                <w:rFonts w:hint="eastAsia" w:ascii="方正小标宋_GBK" w:hAnsi="方正小标宋_GBK" w:eastAsia="方正小标宋_GBK" w:cs="方正小标宋_GBK"/>
                <w:b w:val="0"/>
                <w:kern w:val="2"/>
                <w:sz w:val="32"/>
                <w:szCs w:val="32"/>
                <w:vertAlign w:val="baseline"/>
                <w:lang w:val="en-US" w:eastAsia="zh-CN" w:bidi="ar-SA"/>
              </w:rPr>
              <w:t>1</w:t>
            </w:r>
          </w:p>
        </w:tc>
        <w:tc>
          <w:tcPr>
            <w:tcW w:w="2784"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kern w:val="2"/>
                <w:sz w:val="36"/>
                <w:szCs w:val="36"/>
                <w:vertAlign w:val="baseline"/>
                <w:lang w:val="en-US" w:eastAsia="zh-CN" w:bidi="ar-SA"/>
              </w:rPr>
            </w:pPr>
            <w:r>
              <w:rPr>
                <w:rFonts w:hint="eastAsia" w:ascii="仿宋_GB2312" w:hAnsi="仿宋_GB2312" w:eastAsia="仿宋_GB2312" w:cs="仿宋_GB2312"/>
                <w:b w:val="0"/>
                <w:kern w:val="2"/>
                <w:sz w:val="36"/>
                <w:szCs w:val="36"/>
                <w:vertAlign w:val="baseline"/>
                <w:lang w:val="en-US" w:eastAsia="zh-CN" w:bidi="ar-SA"/>
              </w:rPr>
              <w:t>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kern w:val="2"/>
                <w:sz w:val="36"/>
                <w:szCs w:val="36"/>
                <w:vertAlign w:val="baseline"/>
                <w:lang w:val="en-US" w:eastAsia="zh-CN" w:bidi="ar-SA"/>
              </w:rPr>
            </w:pPr>
            <w:r>
              <w:rPr>
                <w:rFonts w:hint="eastAsia" w:ascii="仿宋_GB2312" w:hAnsi="仿宋_GB2312" w:eastAsia="仿宋_GB2312" w:cs="仿宋_GB2312"/>
                <w:b w:val="0"/>
                <w:kern w:val="2"/>
                <w:sz w:val="36"/>
                <w:szCs w:val="36"/>
                <w:vertAlign w:val="baseline"/>
                <w:lang w:val="en-US" w:eastAsia="zh-CN" w:bidi="ar-SA"/>
              </w:rPr>
              <w:t>政</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kern w:val="2"/>
                <w:sz w:val="36"/>
                <w:szCs w:val="36"/>
                <w:vertAlign w:val="baseline"/>
                <w:lang w:val="en-US" w:eastAsia="zh-CN" w:bidi="ar-SA"/>
              </w:rPr>
            </w:pPr>
            <w:r>
              <w:rPr>
                <w:rFonts w:hint="eastAsia" w:ascii="仿宋_GB2312" w:hAnsi="仿宋_GB2312" w:eastAsia="仿宋_GB2312" w:cs="仿宋_GB2312"/>
                <w:b w:val="0"/>
                <w:kern w:val="2"/>
                <w:sz w:val="36"/>
                <w:szCs w:val="36"/>
                <w:vertAlign w:val="baseline"/>
                <w:lang w:val="en-US" w:eastAsia="zh-CN" w:bidi="ar-SA"/>
              </w:rPr>
              <w:t>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r>
              <w:rPr>
                <w:rFonts w:hint="eastAsia" w:ascii="仿宋_GB2312" w:hAnsi="仿宋_GB2312" w:eastAsia="仿宋_GB2312" w:cs="仿宋_GB2312"/>
                <w:b w:val="0"/>
                <w:kern w:val="2"/>
                <w:sz w:val="36"/>
                <w:szCs w:val="36"/>
                <w:vertAlign w:val="baseline"/>
                <w:lang w:val="en-US" w:eastAsia="zh-CN" w:bidi="ar-SA"/>
              </w:rPr>
              <w:t>罚</w:t>
            </w:r>
          </w:p>
        </w:tc>
        <w:tc>
          <w:tcPr>
            <w:tcW w:w="4401"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r>
              <w:rPr>
                <w:rFonts w:hint="eastAsia" w:ascii="仿宋_GB2312" w:hAnsi="仿宋_GB2312" w:eastAsia="仿宋_GB2312" w:cs="仿宋_GB2312"/>
                <w:b w:val="0"/>
                <w:kern w:val="2"/>
                <w:sz w:val="22"/>
                <w:szCs w:val="22"/>
                <w:vertAlign w:val="baseline"/>
                <w:lang w:val="en-US" w:eastAsia="zh-CN" w:bidi="ar-SA"/>
              </w:rPr>
              <w:t>（一）涉及重大国家利益和公共利益，可能造成重大社会影响或引发社会风险的。</w:t>
            </w:r>
          </w:p>
        </w:tc>
        <w:tc>
          <w:tcPr>
            <w:tcW w:w="4470"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r>
              <w:rPr>
                <w:rFonts w:hint="eastAsia" w:ascii="仿宋_GB2312" w:hAnsi="仿宋_GB2312" w:eastAsia="仿宋_GB2312" w:cs="仿宋_GB2312"/>
                <w:b w:val="0"/>
                <w:kern w:val="2"/>
                <w:sz w:val="22"/>
                <w:szCs w:val="22"/>
                <w:vertAlign w:val="baseline"/>
                <w:lang w:val="en-US" w:eastAsia="zh-CN" w:bidi="ar-SA"/>
              </w:rPr>
              <w:t xml:space="preserve">    是否属于本单位的职权范围；执法人员是否具备执法资格；主要事实是否清楚，证据是否确凿、充分；适用法律是否准确；行政执法裁量基准是否适当；程序是否合法；行政执法文书是否规范齐备；其他需要审核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2037"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val="0"/>
                <w:kern w:val="2"/>
                <w:sz w:val="32"/>
                <w:szCs w:val="32"/>
                <w:vertAlign w:val="baseline"/>
                <w:lang w:val="en-US" w:eastAsia="zh-CN" w:bidi="ar-SA"/>
              </w:rPr>
            </w:pPr>
            <w:r>
              <w:rPr>
                <w:rFonts w:hint="eastAsia" w:ascii="方正小标宋_GBK" w:hAnsi="方正小标宋_GBK" w:eastAsia="方正小标宋_GBK" w:cs="方正小标宋_GBK"/>
                <w:b w:val="0"/>
                <w:kern w:val="2"/>
                <w:sz w:val="32"/>
                <w:szCs w:val="32"/>
                <w:vertAlign w:val="baseline"/>
                <w:lang w:val="en-US" w:eastAsia="zh-CN" w:bidi="ar-SA"/>
              </w:rPr>
              <w:t>2</w:t>
            </w:r>
          </w:p>
        </w:tc>
        <w:tc>
          <w:tcPr>
            <w:tcW w:w="27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tc>
        <w:tc>
          <w:tcPr>
            <w:tcW w:w="4401"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kern w:val="2"/>
                <w:sz w:val="22"/>
                <w:szCs w:val="22"/>
                <w:vertAlign w:val="baseline"/>
                <w:lang w:val="en-US" w:eastAsia="zh-CN" w:bidi="ar-SA"/>
              </w:rPr>
            </w:pPr>
            <w:r>
              <w:rPr>
                <w:rFonts w:hint="eastAsia" w:ascii="仿宋_GB2312" w:hAnsi="仿宋_GB2312" w:eastAsia="仿宋_GB2312" w:cs="仿宋_GB2312"/>
                <w:b w:val="0"/>
                <w:kern w:val="2"/>
                <w:sz w:val="22"/>
                <w:szCs w:val="22"/>
                <w:vertAlign w:val="baseline"/>
                <w:lang w:val="en-US" w:eastAsia="zh-CN" w:bidi="ar-SA"/>
              </w:rPr>
              <w:t>（二）直接关系行政管理相对人或他人重大权益的。</w:t>
            </w:r>
          </w:p>
        </w:tc>
        <w:tc>
          <w:tcPr>
            <w:tcW w:w="447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37"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val="0"/>
                <w:kern w:val="2"/>
                <w:sz w:val="32"/>
                <w:szCs w:val="32"/>
                <w:vertAlign w:val="baseline"/>
                <w:lang w:val="en-US" w:eastAsia="zh-CN" w:bidi="ar-SA"/>
              </w:rPr>
            </w:pPr>
            <w:r>
              <w:rPr>
                <w:rFonts w:hint="eastAsia" w:ascii="方正小标宋_GBK" w:hAnsi="方正小标宋_GBK" w:eastAsia="方正小标宋_GBK" w:cs="方正小标宋_GBK"/>
                <w:b w:val="0"/>
                <w:kern w:val="2"/>
                <w:sz w:val="32"/>
                <w:szCs w:val="32"/>
                <w:vertAlign w:val="baseline"/>
                <w:lang w:val="en-US" w:eastAsia="zh-CN" w:bidi="ar-SA"/>
              </w:rPr>
              <w:t>3</w:t>
            </w:r>
          </w:p>
        </w:tc>
        <w:tc>
          <w:tcPr>
            <w:tcW w:w="27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tc>
        <w:tc>
          <w:tcPr>
            <w:tcW w:w="4401"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kern w:val="2"/>
                <w:sz w:val="22"/>
                <w:szCs w:val="22"/>
                <w:vertAlign w:val="baseline"/>
                <w:lang w:val="en-US" w:eastAsia="zh-CN" w:bidi="ar-SA"/>
              </w:rPr>
            </w:pPr>
            <w:r>
              <w:rPr>
                <w:rFonts w:hint="eastAsia" w:ascii="仿宋_GB2312" w:hAnsi="仿宋_GB2312" w:eastAsia="仿宋_GB2312" w:cs="仿宋_GB2312"/>
                <w:b w:val="0"/>
                <w:kern w:val="2"/>
                <w:sz w:val="22"/>
                <w:szCs w:val="22"/>
                <w:vertAlign w:val="baseline"/>
                <w:lang w:val="en-US" w:eastAsia="zh-CN" w:bidi="ar-SA"/>
              </w:rPr>
              <w:t>（三）需经听证程序作出行政执法决定的。</w:t>
            </w:r>
          </w:p>
        </w:tc>
        <w:tc>
          <w:tcPr>
            <w:tcW w:w="447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2037"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val="0"/>
                <w:kern w:val="2"/>
                <w:sz w:val="32"/>
                <w:szCs w:val="32"/>
                <w:vertAlign w:val="baseline"/>
                <w:lang w:val="en-US" w:eastAsia="zh-CN" w:bidi="ar-SA"/>
              </w:rPr>
            </w:pPr>
            <w:r>
              <w:rPr>
                <w:rFonts w:hint="eastAsia" w:ascii="方正小标宋_GBK" w:hAnsi="方正小标宋_GBK" w:eastAsia="方正小标宋_GBK" w:cs="方正小标宋_GBK"/>
                <w:b w:val="0"/>
                <w:kern w:val="2"/>
                <w:sz w:val="32"/>
                <w:szCs w:val="32"/>
                <w:vertAlign w:val="baseline"/>
                <w:lang w:val="en-US" w:eastAsia="zh-CN" w:bidi="ar-SA"/>
              </w:rPr>
              <w:t>4</w:t>
            </w:r>
          </w:p>
        </w:tc>
        <w:tc>
          <w:tcPr>
            <w:tcW w:w="27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tc>
        <w:tc>
          <w:tcPr>
            <w:tcW w:w="4401"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kern w:val="2"/>
                <w:sz w:val="22"/>
                <w:szCs w:val="22"/>
                <w:vertAlign w:val="baseline"/>
                <w:lang w:val="en-US" w:eastAsia="zh-CN" w:bidi="ar-SA"/>
              </w:rPr>
            </w:pPr>
            <w:r>
              <w:rPr>
                <w:rFonts w:hint="eastAsia" w:ascii="仿宋_GB2312" w:hAnsi="仿宋_GB2312" w:eastAsia="仿宋_GB2312" w:cs="仿宋_GB2312"/>
                <w:b w:val="0"/>
                <w:kern w:val="2"/>
                <w:sz w:val="22"/>
                <w:szCs w:val="22"/>
                <w:vertAlign w:val="baseline"/>
                <w:lang w:val="en-US" w:eastAsia="zh-CN" w:bidi="ar-SA"/>
              </w:rPr>
              <w:t>（四）案件情况疑难复杂，涉及多个法律关系的。</w:t>
            </w:r>
          </w:p>
        </w:tc>
        <w:tc>
          <w:tcPr>
            <w:tcW w:w="447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2037"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val="0"/>
                <w:kern w:val="2"/>
                <w:sz w:val="32"/>
                <w:szCs w:val="32"/>
                <w:vertAlign w:val="baseline"/>
                <w:lang w:val="en-US" w:eastAsia="zh-CN" w:bidi="ar-SA"/>
              </w:rPr>
            </w:pPr>
            <w:r>
              <w:rPr>
                <w:rFonts w:hint="eastAsia" w:ascii="方正小标宋_GBK" w:hAnsi="方正小标宋_GBK" w:eastAsia="方正小标宋_GBK" w:cs="方正小标宋_GBK"/>
                <w:b w:val="0"/>
                <w:kern w:val="2"/>
                <w:sz w:val="32"/>
                <w:szCs w:val="32"/>
                <w:vertAlign w:val="baseline"/>
                <w:lang w:val="en-US" w:eastAsia="zh-CN" w:bidi="ar-SA"/>
              </w:rPr>
              <w:t>5</w:t>
            </w:r>
          </w:p>
        </w:tc>
        <w:tc>
          <w:tcPr>
            <w:tcW w:w="27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tc>
        <w:tc>
          <w:tcPr>
            <w:tcW w:w="4401" w:type="dxa"/>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kern w:val="2"/>
                <w:sz w:val="22"/>
                <w:szCs w:val="22"/>
                <w:vertAlign w:val="baseline"/>
                <w:lang w:val="en-US" w:eastAsia="zh-CN" w:bidi="ar-SA"/>
              </w:rPr>
            </w:pPr>
            <w:r>
              <w:rPr>
                <w:rFonts w:hint="eastAsia" w:ascii="仿宋_GB2312" w:hAnsi="仿宋_GB2312" w:eastAsia="仿宋_GB2312" w:cs="仿宋_GB2312"/>
                <w:b w:val="0"/>
                <w:kern w:val="2"/>
                <w:sz w:val="22"/>
                <w:szCs w:val="22"/>
                <w:vertAlign w:val="baseline"/>
                <w:lang w:val="en-US" w:eastAsia="zh-CN" w:bidi="ar-SA"/>
              </w:rPr>
              <w:t>（五）其他法律、法规、规章规定应当进行法制审核的。</w:t>
            </w:r>
          </w:p>
        </w:tc>
        <w:tc>
          <w:tcPr>
            <w:tcW w:w="447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r>
        <w:rPr>
          <w:rFonts w:hint="eastAsia" w:ascii="方正小标宋_GBK" w:hAnsi="方正小标宋_GBK" w:eastAsia="方正小标宋_GBK" w:cs="方正小标宋_GBK"/>
          <w:b w:val="0"/>
          <w:kern w:val="2"/>
          <w:sz w:val="44"/>
          <w:szCs w:val="44"/>
          <w:lang w:val="en-US" w:eastAsia="zh-CN" w:bidi="ar-SA"/>
        </w:rPr>
        <w:t>吴忠市利通区商务和投资促进局行政执法流程图</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i w:val="0"/>
          <w:caps w:val="0"/>
          <w:color w:val="000000"/>
          <w:spacing w:val="0"/>
          <w:sz w:val="44"/>
          <w:szCs w:val="44"/>
          <w:lang w:val="en"/>
        </w:rPr>
      </w:pPr>
      <w:r>
        <w:rPr>
          <w:rFonts w:hint="eastAsia" w:ascii="方正小标宋简体" w:hAnsi="方正小标宋简体" w:eastAsia="方正小标宋简体" w:cs="方正小标宋简体"/>
          <w:b w:val="0"/>
          <w:bCs w:val="0"/>
          <w:i w:val="0"/>
          <w:caps w:val="0"/>
          <w:color w:val="000000"/>
          <w:spacing w:val="0"/>
          <w:sz w:val="40"/>
          <w:szCs w:val="40"/>
        </w:rPr>
        <w:t>行政</w:t>
      </w:r>
      <w:r>
        <w:rPr>
          <w:rFonts w:hint="eastAsia" w:ascii="方正小标宋简体" w:hAnsi="方正小标宋简体" w:eastAsia="方正小标宋简体" w:cs="方正小标宋简体"/>
          <w:b w:val="0"/>
          <w:bCs w:val="0"/>
          <w:i w:val="0"/>
          <w:caps w:val="0"/>
          <w:color w:val="000000"/>
          <w:spacing w:val="0"/>
          <w:sz w:val="40"/>
          <w:szCs w:val="40"/>
          <w:lang w:eastAsia="zh-CN"/>
        </w:rPr>
        <w:t>检查流程图</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r>
        <w:rPr>
          <w:rFonts w:hint="default" w:ascii="方正小标宋简体" w:hAnsi="方正小标宋简体" w:eastAsia="方正小标宋简体" w:cs="方正小标宋简体"/>
          <w:b w:val="0"/>
          <w:bCs w:val="0"/>
          <w:i w:val="0"/>
          <w:caps w:val="0"/>
          <w:color w:val="000000"/>
          <w:spacing w:val="0"/>
          <w:sz w:val="44"/>
          <w:szCs w:val="44"/>
          <w:lang w:val="en"/>
        </w:rPr>
        <w:drawing>
          <wp:anchor distT="0" distB="0" distL="114300" distR="114300" simplePos="0" relativeHeight="251658240" behindDoc="0" locked="0" layoutInCell="1" allowOverlap="1">
            <wp:simplePos x="0" y="0"/>
            <wp:positionH relativeFrom="column">
              <wp:posOffset>384810</wp:posOffset>
            </wp:positionH>
            <wp:positionV relativeFrom="paragraph">
              <wp:posOffset>217805</wp:posOffset>
            </wp:positionV>
            <wp:extent cx="8402955" cy="5200015"/>
            <wp:effectExtent l="0" t="0" r="17145" b="635"/>
            <wp:wrapSquare wrapText="bothSides"/>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4"/>
                    <a:srcRect b="16920"/>
                    <a:stretch>
                      <a:fillRect/>
                    </a:stretch>
                  </pic:blipFill>
                  <pic:spPr>
                    <a:xfrm>
                      <a:off x="0" y="0"/>
                      <a:ext cx="8402955" cy="520001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i w:val="0"/>
          <w:caps w:val="0"/>
          <w:color w:val="000000"/>
          <w:spacing w:val="0"/>
          <w:sz w:val="44"/>
          <w:szCs w:val="44"/>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i w:val="0"/>
          <w:caps w:val="0"/>
          <w:color w:val="000000"/>
          <w:spacing w:val="0"/>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i w:val="0"/>
          <w:caps w:val="0"/>
          <w:color w:val="000000"/>
          <w:spacing w:val="0"/>
          <w:sz w:val="15"/>
          <w:szCs w:val="15"/>
          <w:lang w:val="en-US" w:eastAsia="zh-CN"/>
        </w:rPr>
      </w:pPr>
      <w:r>
        <w:rPr>
          <w:rFonts w:hint="eastAsia" w:ascii="方正小标宋简体" w:hAnsi="方正小标宋简体" w:eastAsia="方正小标宋简体" w:cs="方正小标宋简体"/>
          <w:b w:val="0"/>
          <w:bCs w:val="0"/>
          <w:i w:val="0"/>
          <w:caps w:val="0"/>
          <w:color w:val="000000"/>
          <w:spacing w:val="0"/>
          <w:sz w:val="40"/>
          <w:szCs w:val="40"/>
        </w:rPr>
        <w:t>行政处罚</w:t>
      </w:r>
      <w:r>
        <w:rPr>
          <w:rFonts w:hint="eastAsia" w:ascii="方正小标宋简体" w:hAnsi="方正小标宋简体" w:eastAsia="方正小标宋简体" w:cs="方正小标宋简体"/>
          <w:b w:val="0"/>
          <w:bCs w:val="0"/>
          <w:i w:val="0"/>
          <w:caps w:val="0"/>
          <w:color w:val="000000"/>
          <w:spacing w:val="0"/>
          <w:sz w:val="40"/>
          <w:szCs w:val="40"/>
          <w:lang w:eastAsia="zh-CN"/>
        </w:rPr>
        <w:t>流程图（简易程序）</w:t>
      </w:r>
    </w:p>
    <w:p>
      <w:pPr>
        <w:rPr>
          <w:rFonts w:hint="default" w:ascii="方正小标宋简体" w:hAnsi="方正小标宋简体" w:eastAsia="方正小标宋简体" w:cs="方正小标宋简体"/>
          <w:i w:val="0"/>
          <w:caps w:val="0"/>
          <w:color w:val="000000"/>
          <w:spacing w:val="0"/>
          <w:sz w:val="44"/>
          <w:szCs w:val="44"/>
          <w:lang w:val="en-US" w:eastAsia="zh-CN"/>
        </w:rPr>
        <w:sectPr>
          <w:pgSz w:w="16838" w:h="11906" w:orient="landscape"/>
          <w:pgMar w:top="850" w:right="1440" w:bottom="850" w:left="850" w:header="851" w:footer="992" w:gutter="0"/>
          <w:cols w:space="720" w:num="1"/>
          <w:docGrid w:type="lines" w:linePitch="312" w:charSpace="0"/>
        </w:sectPr>
      </w:pPr>
      <w:r>
        <w:rPr>
          <w:rFonts w:hint="eastAsia" w:ascii="方正小标宋简体" w:hAnsi="方正小标宋简体" w:eastAsia="方正小标宋简体" w:cs="方正小标宋简体"/>
          <w:i w:val="0"/>
          <w:caps w:val="0"/>
          <w:color w:val="000000"/>
          <w:spacing w:val="0"/>
          <w:sz w:val="44"/>
          <w:szCs w:val="44"/>
          <w:lang w:val="en-US" w:eastAsia="zh-CN"/>
        </w:rPr>
        <w:t xml:space="preserve">   </w:t>
      </w:r>
      <w:r>
        <w:rPr>
          <w:rFonts w:hint="default" w:ascii="方正小标宋简体" w:hAnsi="方正小标宋简体" w:eastAsia="方正小标宋简体" w:cs="方正小标宋简体"/>
          <w:i w:val="0"/>
          <w:caps w:val="0"/>
          <w:color w:val="000000"/>
          <w:spacing w:val="0"/>
          <w:sz w:val="44"/>
          <w:szCs w:val="44"/>
          <w:lang w:val="en" w:eastAsia="zh-CN"/>
        </w:rPr>
        <w:t xml:space="preserve"> </w:t>
      </w:r>
      <w:r>
        <w:rPr>
          <w:rFonts w:hint="default" w:ascii="方正小标宋简体" w:hAnsi="方正小标宋简体" w:eastAsia="方正小标宋简体" w:cs="方正小标宋简体"/>
          <w:i w:val="0"/>
          <w:caps w:val="0"/>
          <w:color w:val="000000"/>
          <w:spacing w:val="0"/>
          <w:sz w:val="44"/>
          <w:szCs w:val="44"/>
          <w:lang w:val="en-US" w:eastAsia="zh-CN"/>
        </w:rPr>
        <w:drawing>
          <wp:inline distT="0" distB="0" distL="114300" distR="114300">
            <wp:extent cx="8190865" cy="4815840"/>
            <wp:effectExtent l="0" t="0" r="635" b="3810"/>
            <wp:docPr id="2" name="图片 1" descr="行政处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行政处罚-1"/>
                    <pic:cNvPicPr>
                      <a:picLocks noChangeAspect="1"/>
                    </pic:cNvPicPr>
                  </pic:nvPicPr>
                  <pic:blipFill>
                    <a:blip r:embed="rId5"/>
                    <a:srcRect b="8730"/>
                    <a:stretch>
                      <a:fillRect/>
                    </a:stretch>
                  </pic:blipFill>
                  <pic:spPr>
                    <a:xfrm>
                      <a:off x="0" y="0"/>
                      <a:ext cx="8190865" cy="48158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0"/>
          <w:szCs w:val="40"/>
          <w:lang w:eastAsia="zh-CN"/>
        </w:rPr>
      </w:pPr>
      <w:r>
        <w:rPr>
          <w:rFonts w:hint="eastAsia" w:ascii="方正小标宋简体" w:hAnsi="方正小标宋简体" w:eastAsia="方正小标宋简体" w:cs="方正小标宋简体"/>
          <w:b w:val="0"/>
          <w:bCs w:val="0"/>
          <w:i w:val="0"/>
          <w:caps w:val="0"/>
          <w:color w:val="000000"/>
          <w:spacing w:val="0"/>
          <w:sz w:val="40"/>
          <w:szCs w:val="40"/>
        </w:rPr>
        <w:t>行政处罚</w:t>
      </w:r>
      <w:r>
        <w:rPr>
          <w:rFonts w:hint="eastAsia" w:ascii="方正小标宋简体" w:hAnsi="方正小标宋简体" w:eastAsia="方正小标宋简体" w:cs="方正小标宋简体"/>
          <w:b w:val="0"/>
          <w:bCs w:val="0"/>
          <w:i w:val="0"/>
          <w:caps w:val="0"/>
          <w:color w:val="000000"/>
          <w:spacing w:val="0"/>
          <w:sz w:val="40"/>
          <w:szCs w:val="40"/>
          <w:lang w:eastAsia="zh-CN"/>
        </w:rPr>
        <w:t>流程图（一般程序）</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caps w:val="0"/>
          <w:color w:val="000000"/>
          <w:spacing w:val="0"/>
          <w:sz w:val="44"/>
          <w:szCs w:val="44"/>
          <w:lang w:eastAsia="zh-CN"/>
        </w:rPr>
      </w:pPr>
    </w:p>
    <w:p>
      <w:pPr>
        <w:rPr>
          <w:rFonts w:hint="default" w:ascii="方正小标宋简体" w:hAnsi="方正小标宋简体" w:eastAsia="方正小标宋简体" w:cs="方正小标宋简体"/>
          <w:i w:val="0"/>
          <w:caps w:val="0"/>
          <w:color w:val="000000"/>
          <w:spacing w:val="0"/>
          <w:sz w:val="44"/>
          <w:szCs w:val="44"/>
          <w:lang w:val="en-US" w:eastAsia="zh-CN"/>
        </w:rPr>
      </w:pPr>
      <w:r>
        <w:rPr>
          <w:rFonts w:hint="default" w:ascii="方正小标宋简体" w:hAnsi="方正小标宋简体" w:eastAsia="方正小标宋简体" w:cs="方正小标宋简体"/>
          <w:i w:val="0"/>
          <w:caps w:val="0"/>
          <w:color w:val="000000"/>
          <w:spacing w:val="0"/>
          <w:sz w:val="44"/>
          <w:szCs w:val="44"/>
          <w:lang w:val="en-US" w:eastAsia="zh-CN"/>
        </w:rPr>
        <w:drawing>
          <wp:inline distT="0" distB="0" distL="114300" distR="114300">
            <wp:extent cx="6581775" cy="7680325"/>
            <wp:effectExtent l="0" t="0" r="9525" b="15875"/>
            <wp:docPr id="3" name="图片 2" descr="行政处罚一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行政处罚一般"/>
                    <pic:cNvPicPr>
                      <a:picLocks noChangeAspect="1"/>
                    </pic:cNvPicPr>
                  </pic:nvPicPr>
                  <pic:blipFill>
                    <a:blip r:embed="rId6"/>
                    <a:srcRect b="9650"/>
                    <a:stretch>
                      <a:fillRect/>
                    </a:stretch>
                  </pic:blipFill>
                  <pic:spPr>
                    <a:xfrm>
                      <a:off x="0" y="0"/>
                      <a:ext cx="6581775" cy="7680325"/>
                    </a:xfrm>
                    <a:prstGeom prst="rect">
                      <a:avLst/>
                    </a:prstGeom>
                    <a:noFill/>
                    <a:ln>
                      <a:noFill/>
                    </a:ln>
                  </pic:spPr>
                </pic:pic>
              </a:graphicData>
            </a:graphic>
          </wp:inline>
        </w:drawing>
      </w:r>
    </w:p>
    <w:p>
      <w:pPr>
        <w:rPr>
          <w:rFonts w:hint="default" w:ascii="方正小标宋简体" w:hAnsi="方正小标宋简体" w:eastAsia="方正小标宋简体" w:cs="方正小标宋简体"/>
          <w:i w:val="0"/>
          <w:caps w:val="0"/>
          <w:color w:val="000000"/>
          <w:spacing w:val="0"/>
          <w:sz w:val="44"/>
          <w:szCs w:val="44"/>
          <w:lang w:val="en-US" w:eastAsia="zh-CN"/>
        </w:rPr>
      </w:pPr>
    </w:p>
    <w:p>
      <w:pPr>
        <w:pStyle w:val="2"/>
        <w:pageBreakBefore w:val="0"/>
        <w:kinsoku/>
        <w:wordWrap/>
        <w:overflowPunct/>
        <w:topLinePunct w:val="0"/>
        <w:autoSpaceDE/>
        <w:autoSpaceDN/>
        <w:bidi w:val="0"/>
        <w:adjustRightInd/>
        <w:snapToGrid/>
        <w:ind w:firstLine="642" w:firstLineChars="200"/>
        <w:textAlignment w:val="auto"/>
        <w:rPr>
          <w:rFonts w:hint="default"/>
        </w:rPr>
      </w:pPr>
    </w:p>
    <w:sectPr>
      <w:pgSz w:w="11906" w:h="16838"/>
      <w:pgMar w:top="1440" w:right="850" w:bottom="850" w:left="85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E0002EFF" w:usb1="C000785B"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Nimbus Roman No9 L">
    <w:altName w:val="华文仿宋"/>
    <w:panose1 w:val="00000000000000000000"/>
    <w:charset w:val="00"/>
    <w:family w:val="auto"/>
    <w:pitch w:val="default"/>
    <w:sig w:usb0="00000000" w:usb1="00000000" w:usb2="00000000" w:usb3="00000000" w:csb0="00040001"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FF3FFB"/>
    <w:multiLevelType w:val="singleLevel"/>
    <w:tmpl w:val="BFFF3FF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4YWU4OWJkMWYwMTU5YzU0MWI5YTIwYjlkZjdkMmIifQ=="/>
  </w:docVars>
  <w:rsids>
    <w:rsidRoot w:val="00000000"/>
    <w:rsid w:val="03ED3670"/>
    <w:rsid w:val="10241AD2"/>
    <w:rsid w:val="11433163"/>
    <w:rsid w:val="1B162396"/>
    <w:rsid w:val="2FDFBE3D"/>
    <w:rsid w:val="3C5F4B90"/>
    <w:rsid w:val="3D544015"/>
    <w:rsid w:val="3EAB0813"/>
    <w:rsid w:val="49953781"/>
    <w:rsid w:val="4FB9E3C1"/>
    <w:rsid w:val="584037D8"/>
    <w:rsid w:val="661A107E"/>
    <w:rsid w:val="72FF232B"/>
    <w:rsid w:val="79535449"/>
    <w:rsid w:val="7B8205E3"/>
    <w:rsid w:val="AB7F441F"/>
    <w:rsid w:val="AD961A28"/>
    <w:rsid w:val="AFCCE8D4"/>
    <w:rsid w:val="CF7E33B1"/>
    <w:rsid w:val="DC6F5BEB"/>
    <w:rsid w:val="F1BFB15C"/>
    <w:rsid w:val="FD57A17F"/>
    <w:rsid w:val="FFEF5F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2">
    <w:name w:val="heading 2"/>
    <w:basedOn w:val="1"/>
    <w:next w:val="1"/>
    <w:qFormat/>
    <w:uiPriority w:val="0"/>
    <w:pPr>
      <w:keepNext/>
      <w:keepLines/>
      <w:spacing w:before="260" w:after="260" w:line="416" w:lineRule="auto"/>
      <w:outlineLvl w:val="1"/>
    </w:pPr>
    <w:rPr>
      <w:rFonts w:ascii="Arial" w:hAnsi="Arial" w:eastAsia="黑体" w:cs="Times New Roman"/>
      <w:b/>
      <w:bCs/>
      <w:sz w:val="32"/>
      <w:szCs w:val="32"/>
    </w:rPr>
  </w:style>
  <w:style w:type="character" w:default="1" w:styleId="10">
    <w:name w:val="Default Paragraph Font"/>
    <w:semiHidden/>
    <w:uiPriority w:val="0"/>
  </w:style>
  <w:style w:type="table" w:default="1" w:styleId="8">
    <w:name w:val="Normal Table"/>
    <w:semiHidden/>
    <w:uiPriority w:val="0"/>
    <w:tblPr>
      <w:tblStyle w:val="8"/>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rPr>
      <w:rFonts w:ascii="Calibri" w:hAnsi="Calibri" w:eastAsia="宋体" w:cs="Times New Roman"/>
    </w:rPr>
  </w:style>
  <w:style w:type="paragraph" w:styleId="5">
    <w:name w:val="Body Text"/>
    <w:basedOn w:val="1"/>
    <w:qFormat/>
    <w:uiPriority w:val="0"/>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6947</Words>
  <Characters>7139</Characters>
  <Lines>0</Lines>
  <Paragraphs>0</Paragraphs>
  <TotalTime>0</TotalTime>
  <ScaleCrop>false</ScaleCrop>
  <LinksUpToDate>false</LinksUpToDate>
  <CharactersWithSpaces>7347</CharactersWithSpaces>
  <Application>WPS Office_11.8.2.9339_F1E327BC-269C-435d-A152-05C5408002CA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Administrator</dc:creator>
  <cp:lastModifiedBy>ltq</cp:lastModifiedBy>
  <cp:lastPrinted>2024-07-26T10:53:41Z</cp:lastPrinted>
  <dcterms:modified xsi:type="dcterms:W3CDTF">2024-08-29T14:46:19Z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2052-11.8.2.9339</vt:lpwstr>
  </property>
  <property fmtid="{D5CDD505-2E9C-101B-9397-08002B2CF9AE}" pid="3" name="ICV">
    <vt:lpwstr>BBFB2F437FC447898A115017EAF641F1_13</vt:lpwstr>
  </property>
</Properties>
</file>