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吴忠市利通区马莲渠乡柴桥村村庄规划（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-2035年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rPr>
          <w:rFonts w:ascii="仿宋" w:hAnsi="仿宋" w:eastAsia="仿宋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2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规划范围与规划期限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本次村庄规划范围为柴桥村域范围内全部国土空间，含9个村民小组，全域国土空间总面积336.35公顷（合5045.25亩）。规划期限为2023-2035年，其中规划基期年为2022年；近期为2023-2025年；远期为2026-2035年。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2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目标定位与规模确定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、村庄分类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根据《吴忠市国土空间总体规划（2021-2035年）》的要求，确定柴桥村行政村整体主导类型为“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整治改善类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、村庄定位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桥村以特色农作物种植为主导产业，大力发展黄花菜种植及设施农业，辅以柴儿鸡养殖、家庭农场，发展庭院经济，配合乡村休闲农业、农产品加工，巩固现有黄花菜种植，打造集收购、加工、销售、仓储、电商为一体的黄花菜产业基地，将一二三产有机结合起来，将柴桥建设成田园变乐园、宜居又宜业的产业融合型生态农庄。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0" w:after="160" w:afterLines="0" w:line="560" w:lineRule="exact"/>
        <w:ind w:left="403"/>
        <w:jc w:val="center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表2-1规划指标表</w:t>
      </w:r>
    </w:p>
    <w:p>
      <w:pPr>
        <w:rPr>
          <w:rFonts w:hint="eastAsia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6"/>
        <w:gridCol w:w="3366"/>
        <w:gridCol w:w="936"/>
        <w:gridCol w:w="936"/>
        <w:gridCol w:w="121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432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866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456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现状</w:t>
            </w:r>
          </w:p>
        </w:tc>
        <w:tc>
          <w:tcPr>
            <w:tcW w:w="1301" w:type="pct"/>
            <w:gridSpan w:val="2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规划目标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32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远期</w:t>
            </w:r>
          </w:p>
        </w:tc>
        <w:tc>
          <w:tcPr>
            <w:tcW w:w="461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村庄发展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常住人口（人）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883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户籍人口（人）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3394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3344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3180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村庄集体收入（万元）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14.9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人均可支配收入（元）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19600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25000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国土空间开发保护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耕地保有量（公顷）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198.17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198.17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198.17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永久基本农田保护面积（公顷）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171.90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171.90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171.90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生态保护红线面积（公顷）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林地保有量（公顷）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4.18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4.04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4.04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湿地面积（公顷）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村庄建设边界面积（公顷）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53.87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48.37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48.37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留白用地（公顷）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1.51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建设用地总规模（公顷）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91.53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88.03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86.03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减少建设用地（公顷）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3.84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5.84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人均村庄建设用地（平方米/人）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269.68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263.25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270.53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公共服务设施用地规模（公顷）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8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基础设施用地规模（公顷）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0.03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0.03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0.03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80" w:type="pct"/>
            <w:vMerge w:val="continue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集体经营性建设用地面积（公顷）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人居环境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农村生活垃圾集中处理率（%）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80" w:type="pct"/>
            <w:vMerge w:val="continue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村庄污水处理率（%）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80" w:type="pct"/>
            <w:vMerge w:val="continue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户用厕所普及率（%）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备注：规划内容不涉及相关约束性指标可不填写，预期性指标可按村庄实际情况进行增减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0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三、底线管控与国土空间格局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、底线管控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吴忠市利通区“三区三线”划定结果，柴桥村永久基本农田面积为171.90公顷，村庄不涉及生态保护红线与城镇开发边界。落实吴忠市利通区耕地保有量目标，柴桥村耕地保有量为198.17公顷。规划期末村庄耕地面积为203.02公顷。柴桥村村庄建设边界面积48.37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、国土空间格局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柴桥村农业生产空间面积246.11公顷，占村域总用地面积的73.17%；生态保护空间面积为4.20公顷，占村域总用地面积的1.25%，村庄建设空间面积86.03公顷，占村域总用地面积的25.58%。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0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141627608"/>
      <w:bookmarkStart w:id="1" w:name="_Toc10997890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四、产业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规划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柴桥村形成“一轴，五片区”的产业发展布局。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沿着金廖公路结合新增商业用地与物流用地形成产业发展轴；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宜居生活区：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通过对村庄一、二、四、五、八组以及村庄零散宅基地实施撤并搬迁，对居民点进行整治发展宜居生活区；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高效节水农业示范区：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结合高标准农田整治发展适宜连片高效节水农业；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产业核心区：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结合黄花菜种植，发展黄花菜种植深加工与仓储物流以及农产品售卖区；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优质特色作物种植区：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结合村庄现有黄花菜种植发展规模化黄花菜种植；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特色种植农业示范区：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结合村庄撤并搬迁腾退出来的宅基地发展设施农业种植。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0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五、居民点建设规划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远期将建筑质量差、空心房数量多的一组、二组、三组北侧、五组、八组以及村域范围内的零散农村宅基地进行拆迁撤并，利用村庄中的零散用地集中至村庄四组、六组、七组，实现村庄居住用地整体集中布局，规划末期36.61公顷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0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六、基础设施与公共服务设施规划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、基础设施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公共服务设施</w:t>
      </w:r>
      <w:bookmarkStart w:id="2" w:name="_Toc13331"/>
      <w:bookmarkStart w:id="3" w:name="_Toc3091"/>
      <w:bookmarkStart w:id="4" w:name="_Toc6904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公共管理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：提升改造村委会党群服务中心构建村庄综合管理服务的中心。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5" w:name="_Toc9898"/>
      <w:bookmarkStart w:id="6" w:name="_Toc2869"/>
      <w:bookmarkStart w:id="7" w:name="_Toc2843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医疗卫生</w:t>
      </w:r>
      <w:bookmarkEnd w:id="5"/>
      <w:bookmarkEnd w:id="6"/>
      <w:bookmarkEnd w:id="7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：柴桥村现有标准卫生室1处，位于村委会北侧，规划改造提升标准化卫生室，增加医药品类与数量满足村民感冒发烧等轻微疾病的医治需求。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8" w:name="_Toc4785"/>
      <w:bookmarkStart w:id="9" w:name="_Toc26400"/>
      <w:bookmarkStart w:id="10" w:name="_Toc2571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文体</w:t>
      </w:r>
      <w:bookmarkEnd w:id="8"/>
      <w:bookmarkEnd w:id="9"/>
      <w:bookmarkEnd w:id="1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全村现状共有广场5处，本次规划新增公园绿地4处，活动广场1处；其中公园绿地分别位于柴桥三队，一处位于柴桥小学东侧，一处位于柴巴路和柴桥村路的交叉口，一处位于柴桥新村；活动广场位于柴桥新村柴桥路的东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1" w:name="_Toc15544"/>
      <w:bookmarkStart w:id="12" w:name="_Toc22877"/>
      <w:bookmarkStart w:id="13" w:name="_Toc83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社会福利</w:t>
      </w:r>
      <w:bookmarkEnd w:id="11"/>
      <w:bookmarkEnd w:id="12"/>
      <w:bookmarkEnd w:id="13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：现状村庄没有社会福利设施，本次规划设置社会福利设施，规划在村委会增设老年助餐点1处。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教育设施：柴桥村村域范围内有小学一座，但已经停止使用，未来结合村庄产业发展可作为黄花菜晾晒加工场地进行利用。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4" w:name="_Toc21146"/>
      <w:bookmarkStart w:id="15" w:name="_Toc6219"/>
      <w:bookmarkStart w:id="16" w:name="_Toc1480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商业服务</w:t>
      </w:r>
      <w:bookmarkEnd w:id="14"/>
      <w:bookmarkEnd w:id="15"/>
      <w:bookmarkEnd w:id="1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：基于村庄良好的交通条件，在村庄过境交通307省道北侧新增商业用地。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600" w:lineRule="exact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七、近期行动计划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柴桥村村近期内重点建设项目涉及国土综合整治、基础设施和公共服务设施、产业发展、人居环境整治等共计4大项25小项建设内容，建设总投资6981万元。</w:t>
      </w:r>
    </w:p>
    <w:p>
      <w:pPr>
        <w:pStyle w:val="2"/>
        <w:spacing w:before="312" w:after="312"/>
        <w:rPr>
          <w:rFonts w:ascii="仿宋" w:hAnsi="仿宋" w:eastAsia="仿宋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17" w:name="_GoBack"/>
      <w:bookmarkEnd w:id="17"/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0" w:after="160" w:afterLines="0" w:line="240" w:lineRule="auto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Lines="0" w:after="160" w:afterLines="0" w:line="360" w:lineRule="auto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表1-2近期建设投资表</w:t>
      </w:r>
    </w:p>
    <w:p/>
    <w:tbl>
      <w:tblPr>
        <w:tblStyle w:val="7"/>
        <w:tblW w:w="46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24"/>
        <w:gridCol w:w="2145"/>
        <w:gridCol w:w="4051"/>
        <w:gridCol w:w="1504"/>
        <w:gridCol w:w="895"/>
        <w:gridCol w:w="2775"/>
        <w:gridCol w:w="887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项目（工程）名称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建设主体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资金估算（万元）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建设方式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国土综合整治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高标准农田建设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对现有农田提质改造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农业农村局涉农专项资金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国土综合整治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实施农田整理，全面提升耕地质量，复垦村庄现有未耕种地块，恢复可恢复耕种地块为耕地，保障耕地数量与质量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农业农村局涉农专项资金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生态保护修复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提高村庄绿化覆盖率与游憩化修复，改善生态环境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自然资源局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县级财政资金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排水沟整治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重点对排涝干沟进行清淤疏浚，提高排水能力，对重点病险排水泵站进行重建或更新改造。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农业农村局涉农专项资金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基础设施建设和公共服务设施建设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道路工程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村道硬化（维护过境道路总计3600米。硬化村道1200米）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给水设施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管网优化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污水处理系统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铺设污水管网，处理村庄生活污水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清洁取暖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实施清洁能源改造工程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争取发改局清洁能源改造专项资金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环卫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分类垃圾箱144个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道路亮化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新装路灯共165盏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交通运输局专项资金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产业发展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温棚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新建种植设施温棚17.78ha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农业农村局涉农专项资金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季节性拱棚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新建种植拱棚600个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农业农村局涉农专项资金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小型物流园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村中新建一个小型物流园约1.69ha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发展和改革局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农村一二三产融合项目奖补资金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村企联建产业园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新建村企联合产业园约1.51ha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发展和改革局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产业培育资金+企业投资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农产品初加工厂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配套一产延伸新建二产企业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乡村振兴有效衔接资金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冷库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存放农产品冷鲜保存（占地0.2ha）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争取市县产业发展资金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农机广场服务中心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配套农机修理等业务建设服务中心一座（占地0.1ha）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人居环境整治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农民新居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政府专项资金+地方配套资金+村民自筹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</w:t>
            </w: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拆除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民居院落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1225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政府专项资金+地方配套资金+村民自筹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</w:t>
            </w: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村委会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提升改造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活动广场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提升改造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活动广场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新增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公园绿地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新增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马莲渠乡人民政府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利通区配套资金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卫生室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提升改造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卫生健康局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村集体资金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改建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老年助餐点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新增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民政局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村集体资金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6981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F5AA3"/>
    <w:multiLevelType w:val="multilevel"/>
    <w:tmpl w:val="E24F5AA3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7850F31E"/>
    <w:multiLevelType w:val="multilevel"/>
    <w:tmpl w:val="7850F31E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7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DE0NmQzNGRjMzYyYjBmN2ZlNzI4YTNhZTk0YmUifQ=="/>
  </w:docVars>
  <w:rsids>
    <w:rsidRoot w:val="00583B8C"/>
    <w:rsid w:val="000117E1"/>
    <w:rsid w:val="00053033"/>
    <w:rsid w:val="00163520"/>
    <w:rsid w:val="001D247C"/>
    <w:rsid w:val="003213BE"/>
    <w:rsid w:val="0034360C"/>
    <w:rsid w:val="004006DE"/>
    <w:rsid w:val="00421DE0"/>
    <w:rsid w:val="00485D09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418C8"/>
    <w:rsid w:val="00794258"/>
    <w:rsid w:val="007E294C"/>
    <w:rsid w:val="007F45EC"/>
    <w:rsid w:val="008536E4"/>
    <w:rsid w:val="00893197"/>
    <w:rsid w:val="008B0F9B"/>
    <w:rsid w:val="008F006E"/>
    <w:rsid w:val="00935DF2"/>
    <w:rsid w:val="00A41B92"/>
    <w:rsid w:val="00A83618"/>
    <w:rsid w:val="00AD6DF9"/>
    <w:rsid w:val="00B17A9C"/>
    <w:rsid w:val="00BF583F"/>
    <w:rsid w:val="00C35F05"/>
    <w:rsid w:val="00C71679"/>
    <w:rsid w:val="00D460ED"/>
    <w:rsid w:val="00DC684C"/>
    <w:rsid w:val="00E32BB8"/>
    <w:rsid w:val="00F0116D"/>
    <w:rsid w:val="00F03B5D"/>
    <w:rsid w:val="00F16B0D"/>
    <w:rsid w:val="00F263BE"/>
    <w:rsid w:val="00FB450F"/>
    <w:rsid w:val="00FC77D4"/>
    <w:rsid w:val="07FD1FF2"/>
    <w:rsid w:val="19045B69"/>
    <w:rsid w:val="1B0E7BE0"/>
    <w:rsid w:val="2D406ACD"/>
    <w:rsid w:val="3E30041C"/>
    <w:rsid w:val="41884AF2"/>
    <w:rsid w:val="4ADF6CF9"/>
    <w:rsid w:val="523C3645"/>
    <w:rsid w:val="5F6146EB"/>
    <w:rsid w:val="613A0929"/>
    <w:rsid w:val="628D095B"/>
    <w:rsid w:val="69CB28D2"/>
    <w:rsid w:val="6F7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100" w:beforeLines="100" w:after="100" w:afterLines="100"/>
      <w:outlineLvl w:val="1"/>
    </w:pPr>
    <w:rPr>
      <w:rFonts w:ascii="黑体" w:hAnsi="黑体" w:eastAsia="黑体"/>
      <w:b/>
      <w:bCs/>
      <w:sz w:val="32"/>
      <w:szCs w:val="30"/>
    </w:rPr>
  </w:style>
  <w:style w:type="paragraph" w:styleId="3">
    <w:name w:val="heading 4"/>
    <w:next w:val="1"/>
    <w:qFormat/>
    <w:uiPriority w:val="9"/>
    <w:pPr>
      <w:keepNext/>
      <w:keepLines/>
      <w:numPr>
        <w:ilvl w:val="3"/>
        <w:numId w:val="2"/>
      </w:numPr>
      <w:adjustRightInd w:val="0"/>
      <w:snapToGrid w:val="0"/>
      <w:spacing w:before="50" w:beforeLines="50" w:after="50" w:afterLines="50" w:line="240" w:lineRule="exact"/>
      <w:ind w:left="0"/>
      <w:outlineLvl w:val="3"/>
    </w:pPr>
    <w:rPr>
      <w:rFonts w:ascii="宋体" w:hAnsi="宋体" w:eastAsia="黑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说明书正文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spacing w:line="560" w:lineRule="exact"/>
      <w:ind w:firstLine="420" w:firstLineChars="200"/>
    </w:pPr>
  </w:style>
  <w:style w:type="paragraph" w:customStyle="1" w:styleId="14">
    <w:name w:val="表格"/>
    <w:basedOn w:val="15"/>
    <w:link w:val="16"/>
    <w:qFormat/>
    <w:uiPriority w:val="0"/>
    <w:pPr>
      <w:jc w:val="center"/>
    </w:pPr>
    <w:rPr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表格 Char"/>
    <w:basedOn w:val="9"/>
    <w:link w:val="14"/>
    <w:qFormat/>
    <w:uiPriority w:val="0"/>
    <w:rPr>
      <w:szCs w:val="21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图表名"/>
    <w:basedOn w:val="1"/>
    <w:link w:val="19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19">
    <w:name w:val="图表名 Char"/>
    <w:basedOn w:val="9"/>
    <w:link w:val="18"/>
    <w:qFormat/>
    <w:uiPriority w:val="0"/>
    <w:rPr>
      <w:rFonts w:ascii="Times New Roman" w:hAnsi="Times New Roman" w:cs="Times New Roman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xyt</Company>
  <Pages>5</Pages>
  <Words>2857</Words>
  <Characters>3416</Characters>
  <Lines>27</Lines>
  <Paragraphs>7</Paragraphs>
  <TotalTime>7</TotalTime>
  <ScaleCrop>false</ScaleCrop>
  <LinksUpToDate>false</LinksUpToDate>
  <CharactersWithSpaces>3416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2023-11-08T08:13:00Z</dcterms:created>
  <dc:creator>Rainbow</dc:creator>
  <cp:lastModifiedBy>Administrator</cp:lastModifiedBy>
  <cp:lastPrinted>2023-11-24T09:10:51Z</cp:lastPrinted>
  <dcterms:modified xsi:type="dcterms:W3CDTF">2023-11-24T09:10:54Z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0C3E8605F3514E41B5EC52DDC6F9103D_13</vt:lpwstr>
  </property>
</Properties>
</file>