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 w:eastAsia="zh-CN"/>
        </w:rPr>
        <w:t>利通区</w:t>
      </w:r>
      <w:r>
        <w:rPr>
          <w:rFonts w:hint="eastAsia" w:ascii="方正小标宋简体" w:hAnsi="方正小标宋简体" w:eastAsia="方正小标宋简体" w:cs="方正小标宋简体"/>
          <w:bCs/>
          <w:sz w:val="44"/>
          <w:szCs w:val="44"/>
        </w:rPr>
        <w:t>乡镇赋权清单</w:t>
      </w:r>
      <w:r>
        <w:rPr>
          <w:rFonts w:hint="default" w:ascii="方正小标宋简体" w:hAnsi="方正小标宋简体" w:eastAsia="方正小标宋简体" w:cs="方正小标宋简体"/>
          <w:bCs/>
          <w:sz w:val="44"/>
          <w:szCs w:val="44"/>
          <w:lang w:val="en"/>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lang w:val="en" w:eastAsia="zh-CN"/>
        </w:rPr>
        <w:t>年版）</w:t>
      </w:r>
      <w:r>
        <w:rPr>
          <w:rFonts w:hint="eastAsia" w:ascii="方正小标宋简体" w:hAnsi="方正小标宋简体" w:eastAsia="方正小标宋简体" w:cs="方正小标宋简体"/>
          <w:bCs/>
          <w:sz w:val="44"/>
          <w:szCs w:val="44"/>
          <w:lang w:val="en-US" w:eastAsia="zh-CN"/>
        </w:rPr>
        <w:t>（非涉农乡镇50项）</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eastAsia="黑体"/>
          <w:color w:val="auto"/>
          <w:lang w:val="en-US" w:eastAsia="zh-CN"/>
        </w:rPr>
      </w:pPr>
      <w:r>
        <w:rPr>
          <w:rFonts w:hint="eastAsia" w:ascii="黑体" w:hAnsi="黑体" w:eastAsia="黑体" w:cs="Times New Roman"/>
          <w:color w:val="auto"/>
          <w:sz w:val="32"/>
          <w:szCs w:val="32"/>
        </w:rPr>
        <w:t>一、行政处罚</w:t>
      </w:r>
      <w:r>
        <w:rPr>
          <w:rFonts w:hint="eastAsia" w:ascii="黑体" w:hAnsi="黑体" w:eastAsia="黑体" w:cs="Times New Roman"/>
          <w:color w:val="auto"/>
          <w:sz w:val="32"/>
          <w:szCs w:val="32"/>
          <w:lang w:eastAsia="zh-CN"/>
        </w:rPr>
        <w:t>（</w:t>
      </w:r>
      <w:r>
        <w:rPr>
          <w:rFonts w:hint="eastAsia" w:ascii="黑体" w:hAnsi="黑体" w:eastAsia="黑体" w:cs="Times New Roman"/>
          <w:color w:val="auto"/>
          <w:sz w:val="32"/>
          <w:szCs w:val="32"/>
          <w:lang w:val="en-US" w:eastAsia="zh-CN"/>
        </w:rPr>
        <w:t>30项</w:t>
      </w:r>
      <w:r>
        <w:rPr>
          <w:rFonts w:hint="eastAsia" w:ascii="黑体" w:hAnsi="黑体" w:eastAsia="黑体" w:cs="Times New Roman"/>
          <w:color w:val="auto"/>
          <w:sz w:val="32"/>
          <w:szCs w:val="32"/>
          <w:lang w:eastAsia="zh-CN"/>
        </w:rPr>
        <w:t>）</w:t>
      </w:r>
    </w:p>
    <w:tbl>
      <w:tblPr>
        <w:tblStyle w:val="9"/>
        <w:tblW w:w="14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7"/>
        <w:gridCol w:w="888"/>
        <w:gridCol w:w="1641"/>
        <w:gridCol w:w="978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blHeader/>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ascii="黑体" w:hAnsi="黑体" w:eastAsia="黑体" w:cs="仿宋"/>
                <w:bCs/>
                <w:color w:val="auto"/>
              </w:rPr>
            </w:pPr>
            <w:r>
              <w:rPr>
                <w:rFonts w:hint="eastAsia" w:ascii="黑体" w:hAnsi="黑体" w:eastAsia="黑体" w:cs="仿宋"/>
                <w:bCs/>
                <w:color w:val="auto"/>
              </w:rPr>
              <w:t>序号</w:t>
            </w:r>
          </w:p>
        </w:tc>
        <w:tc>
          <w:tcPr>
            <w:tcW w:w="88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黑体" w:hAnsi="黑体" w:eastAsia="黑体" w:cs="仿宋"/>
                <w:bCs/>
                <w:color w:val="auto"/>
                <w:lang w:eastAsia="zh-CN"/>
              </w:rPr>
            </w:pPr>
            <w:r>
              <w:rPr>
                <w:rFonts w:hint="eastAsia" w:ascii="黑体" w:hAnsi="黑体" w:eastAsia="黑体" w:cs="仿宋"/>
                <w:bCs/>
                <w:color w:val="auto"/>
                <w:w w:val="90"/>
                <w:lang w:eastAsia="zh-CN"/>
              </w:rPr>
              <w:t>主管部门</w:t>
            </w:r>
          </w:p>
        </w:tc>
        <w:tc>
          <w:tcPr>
            <w:tcW w:w="164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cs="仿宋"/>
                <w:bCs/>
                <w:color w:val="auto"/>
              </w:rPr>
            </w:pPr>
            <w:r>
              <w:rPr>
                <w:rFonts w:hint="eastAsia" w:ascii="黑体" w:hAnsi="黑体" w:eastAsia="黑体" w:cs="仿宋"/>
                <w:bCs/>
                <w:color w:val="auto"/>
              </w:rPr>
              <w:t>职权名称</w:t>
            </w:r>
          </w:p>
        </w:tc>
        <w:tc>
          <w:tcPr>
            <w:tcW w:w="978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cs="仿宋"/>
                <w:bCs/>
                <w:color w:val="auto"/>
              </w:rPr>
            </w:pPr>
            <w:r>
              <w:rPr>
                <w:rFonts w:hint="eastAsia" w:ascii="黑体" w:hAnsi="黑体" w:eastAsia="黑体" w:cs="仿宋"/>
                <w:bCs/>
                <w:color w:val="auto"/>
              </w:rPr>
              <w:t>设定</w:t>
            </w:r>
            <w:r>
              <w:rPr>
                <w:rFonts w:hint="eastAsia" w:ascii="黑体" w:hAnsi="黑体" w:eastAsia="黑体" w:cs="仿宋"/>
                <w:bCs/>
                <w:color w:val="auto"/>
                <w:lang w:eastAsia="zh-CN"/>
              </w:rPr>
              <w:t>和实施</w:t>
            </w:r>
            <w:r>
              <w:rPr>
                <w:rFonts w:hint="eastAsia" w:ascii="黑体" w:hAnsi="黑体" w:eastAsia="黑体" w:cs="仿宋"/>
                <w:bCs/>
                <w:color w:val="auto"/>
              </w:rPr>
              <w:t>依据</w:t>
            </w:r>
          </w:p>
        </w:tc>
        <w:tc>
          <w:tcPr>
            <w:tcW w:w="118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黑体" w:hAnsi="黑体" w:eastAsia="黑体" w:cs="仿宋"/>
                <w:bCs/>
                <w:color w:val="auto"/>
                <w:spacing w:val="-6"/>
                <w:w w:val="90"/>
                <w:sz w:val="21"/>
              </w:rPr>
            </w:pPr>
            <w:r>
              <w:rPr>
                <w:rFonts w:hint="eastAsia" w:ascii="黑体" w:hAnsi="黑体" w:eastAsia="黑体" w:cs="仿宋"/>
                <w:bCs/>
                <w:color w:val="auto"/>
                <w:spacing w:val="-6"/>
                <w:w w:val="90"/>
                <w:sz w:val="21"/>
              </w:rPr>
              <w:t>原行使层级</w:t>
            </w:r>
          </w:p>
          <w:p>
            <w:pPr>
              <w:spacing w:line="320" w:lineRule="exact"/>
              <w:jc w:val="center"/>
              <w:rPr>
                <w:rFonts w:ascii="黑体" w:hAnsi="黑体" w:eastAsia="黑体" w:cs="仿宋"/>
                <w:bCs/>
                <w:color w:val="auto"/>
              </w:rPr>
            </w:pPr>
            <w:r>
              <w:rPr>
                <w:rFonts w:hint="eastAsia" w:ascii="黑体" w:hAnsi="黑体" w:eastAsia="黑体" w:cs="仿宋"/>
                <w:bCs/>
                <w:color w:val="auto"/>
                <w:spacing w:val="-6"/>
                <w:w w:val="90"/>
                <w:sz w:val="21"/>
              </w:rPr>
              <w:t>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民政厅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对未经批准擅自兴建殡葬设施的处罚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【行政法规】《殡葬管理条例》（2012年国务院令第628号修订）</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第七条 省、自治区、直辖市人民政府民政部门应当根据本行政区域的殡葬工作规划和殡葬需要，提出殡仪馆、火葬场、骨灰堂、公墓、殡仪服务站等殡葬设施的数量、布局规划，报本级人民政府审批。</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第十八条 未经批准，擅自兴建殡葬设施的，由民政部门会同建设、土地行政管理部门予以取缔，责令恢复原状，没收违法所得，可以并处违法所得1倍以上3倍以下的罚款。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民政厅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对采取虚报、隐瞒、伪造等手段，骗取享受城乡居民最低生活保障待遇等情形的处罚</w:t>
            </w:r>
          </w:p>
        </w:tc>
        <w:tc>
          <w:tcPr>
            <w:tcW w:w="9784" w:type="dxa"/>
            <w:tcBorders>
              <w:top w:val="single" w:color="auto" w:sz="4" w:space="0"/>
              <w:left w:val="nil"/>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178" w:leftChars="85" w:firstLine="210" w:firstLineChars="1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【行政法规】《城市居民最低生活保障条例》（1999年国务院令第271号）</w:t>
            </w:r>
          </w:p>
          <w:p>
            <w:pPr>
              <w:pStyle w:val="2"/>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第十条 享受城市居民最低生活保障待遇的城市居民家庭人均收入情况发生变化的</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应当及时通过居民委员会告知管理审批机关</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办理停发、减发或者增发城市居民最低生活保障待遇的手续。</w:t>
            </w:r>
          </w:p>
          <w:p>
            <w:pPr>
              <w:pStyle w:val="2"/>
              <w:keepNext w:val="0"/>
              <w:keepLines w:val="0"/>
              <w:pageBreakBefore w:val="0"/>
              <w:widowControl w:val="0"/>
              <w:kinsoku/>
              <w:wordWrap/>
              <w:overflowPunct/>
              <w:topLinePunct w:val="0"/>
              <w:autoSpaceDE/>
              <w:autoSpaceDN/>
              <w:bidi w:val="0"/>
              <w:adjustRightInd/>
              <w:snapToGrid/>
              <w:spacing w:line="340" w:lineRule="exact"/>
              <w:ind w:left="178" w:leftChars="85" w:firstLine="210" w:firstLineChars="100"/>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管理审批机关应当对享受城市居民最低生活保障待遇的城市居民的家庭收入情况定期进行核查。</w:t>
            </w:r>
          </w:p>
          <w:p>
            <w:pPr>
              <w:pStyle w:val="2"/>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第十四条 享受城市居民最低生活保障待遇的城市居民有下列行为之一的,由县级人民政府民政部门给予批评教育或者警告,追回其冒领的城市居民最低生活保障款物</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情节恶劣的</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处冒领金额 1 倍以上3倍以下的罚款:（一） 采取虚报、隐瞒、伪造等手段,骗取享受城市居民最低生活保障待遇的</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（二）在享受城市居民最低生活保障待遇期间家庭收入情况好转,不按规定告知管理审批机关</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继续享受城市居民最低生活保障待遇的。</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【行政法规】《社会救助暂行办法》（2019年修订）</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第十三条 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【规范性文件】《宁夏回族自治区最低生活保障审核确认暂行办法》（宁民规发〔2021〕7号）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第五十五条 县级以上人民政府民政部门和乡镇人民政府（街道办事处）要加大对采取虚报、瞒报、伪造等非法手段骗取最低生活保障行为和人员的查处力度，除追回骗取的最低生活保障金外，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p>
        </w:tc>
        <w:tc>
          <w:tcPr>
            <w:tcW w:w="1185"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县级人民政府民政部门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6"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自治区自然资源厅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对</w:t>
            </w:r>
            <w:r>
              <w:rPr>
                <w:rFonts w:hint="eastAsia" w:ascii="宋体" w:hAnsi="宋体" w:eastAsia="宋体" w:cs="宋体"/>
                <w:i w:val="0"/>
                <w:color w:val="auto"/>
                <w:kern w:val="0"/>
                <w:sz w:val="21"/>
                <w:szCs w:val="21"/>
                <w:highlight w:val="none"/>
                <w:u w:val="none"/>
                <w:lang w:val="en-US" w:eastAsia="zh-CN" w:bidi="ar"/>
              </w:rPr>
              <w:t>非法占用土地的处罚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【法律】《中华人民共和国土地管理法》（2019年第三次修正）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超过批准的数量占用土地，多占的土地以非法占用土地论处。</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第七十八条 农村村民未经批准或者采取欺骗手段骗取批准，非法占用土地建住宅的，由县级以上人民政府农业农村主管部门责令退还非法占用的土地，限期拆除在非法占用的土地上新建的房屋。</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超过省、自治区、直辖市规定的标准，多占的土地以非法占用土地论处。</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非法批准征收、使用土地，对当事人造成损失的，依法应当承担赔偿责任。</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【行政法规】《中华人民共和国土地管理法实施条例》（2021年国务院令第743号第三次修订）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第九条 禁止任何单位和个人在国土空间规划确定的禁止开垦的范围内从事土地开发活动。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第五十七条 依照《土地管理法》第七十七条的规定处以罚款的，罚款额为非法占用土地每平方米100元以上1000元以下。违反本条例规定，在国土空间规划确定的禁止开垦的范围内从事土地开发活动的，由县级以上人民政府自然资源主管部门责令限期改正，并依照《土地管理法》第七十七条的规定处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第五十八条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第五十九条　依照《土地管理法》第八十一条的规定处以罚款的，罚款额为非法占用土地每平方米100元以上500元以下。</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【行政法规】《基本农田保护条例》（2011年国务院令第588号修订）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第三十条 违反本条例规定，有下列行为之一的，依照《中华人民共和国土地管理法》和《中华人民共和国土地管理法实施条例》的有关规定，从重给予处罚：（一）未经批准或者采取欺骗手段骗取批准，非法占用基本农田的</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（二）超过批准数量，非法占用基本农田的</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（三）非法批准占用基本农田的</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（四）买卖或者以其他形式非法转让基本农田的。</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【地方性法规】《宁夏回族自治区土地管理条例》（2022年第三次修订）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第六十四条 未经批准或者采取欺骗手段骗取批准，非法占用土地的，由县级以上人民政府自然资源主管部门责令退还非法占用的土地，对违反国土空间规划擅自将农用地改为建设用地的，限期拆除在非法占用的土地上新建的建筑物和其他设施，恢复土地原状，对符合国土空间规划的，没收在非法占用的土地上新建的建筑物和其他设施，可以并处非法占用土地每平方米一百元以上一千元以下的罚款；对非法占用土地单位的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超过批准的数量占用土地，多占的土地以非法占用土地论处。</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w:t>
            </w:r>
            <w:r>
              <w:rPr>
                <w:rFonts w:hint="eastAsia" w:ascii="宋体" w:hAnsi="宋体" w:cs="宋体"/>
                <w:i w:val="0"/>
                <w:color w:val="auto"/>
                <w:kern w:val="0"/>
                <w:sz w:val="21"/>
                <w:szCs w:val="21"/>
                <w:highlight w:val="none"/>
                <w:u w:val="none"/>
                <w:lang w:val="en-US" w:eastAsia="zh-CN" w:bidi="ar"/>
              </w:rPr>
              <w:t>人民政府</w:t>
            </w:r>
            <w:r>
              <w:rPr>
                <w:rFonts w:hint="eastAsia" w:ascii="宋体" w:hAnsi="宋体" w:eastAsia="宋体" w:cs="宋体"/>
                <w:i w:val="0"/>
                <w:color w:val="auto"/>
                <w:kern w:val="0"/>
                <w:sz w:val="21"/>
                <w:szCs w:val="21"/>
                <w:highlight w:val="none"/>
                <w:u w:val="none"/>
                <w:lang w:val="en-US" w:eastAsia="zh-CN" w:bidi="ar"/>
              </w:rPr>
              <w:t>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2"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14" w:lineRule="exact"/>
              <w:ind w:left="0" w:leftChars="0"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14"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自治区自然资源厅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14" w:lineRule="exact"/>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对未取得建设工程规划许可证或者未按照建设工程规划许可证的规定进行建设的处罚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【法律】《中华人民共和国城乡规划法》（2019年第二次修正）</w:t>
            </w:r>
          </w:p>
          <w:p>
            <w:pPr>
              <w:keepNext w:val="0"/>
              <w:keepLines w:val="0"/>
              <w:pageBreakBefore w:val="0"/>
              <w:kinsoku/>
              <w:wordWrap/>
              <w:overflowPunct/>
              <w:topLinePunct w:val="0"/>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kinsoku/>
              <w:wordWrap/>
              <w:overflowPunct/>
              <w:topLinePunct w:val="0"/>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【地方性法规】《宁夏回族自治区实施&lt;中华人民共和国城乡规划法&gt;办法》（2014年自治区第十一届人民代表大会常务委员会第十次会议通过）</w:t>
            </w:r>
          </w:p>
          <w:p>
            <w:pPr>
              <w:keepNext w:val="0"/>
              <w:keepLines w:val="0"/>
              <w:pageBreakBefore w:val="0"/>
              <w:kinsoku/>
              <w:wordWrap/>
              <w:overflowPunct/>
              <w:topLinePunct w:val="0"/>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14" w:lineRule="exact"/>
              <w:jc w:val="both"/>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设区的市级、县级人民政府城</w:t>
            </w:r>
            <w:r>
              <w:rPr>
                <w:rFonts w:hint="eastAsia" w:ascii="宋体" w:hAnsi="宋体" w:cs="宋体"/>
                <w:i w:val="0"/>
                <w:color w:val="auto"/>
                <w:kern w:val="0"/>
                <w:sz w:val="21"/>
                <w:szCs w:val="21"/>
                <w:highlight w:val="none"/>
                <w:u w:val="none"/>
                <w:lang w:val="en-US" w:eastAsia="zh-CN" w:bidi="ar"/>
              </w:rPr>
              <w:t>乡</w:t>
            </w:r>
            <w:r>
              <w:rPr>
                <w:rFonts w:hint="eastAsia" w:ascii="宋体" w:hAnsi="宋体" w:eastAsia="宋体" w:cs="宋体"/>
                <w:i w:val="0"/>
                <w:color w:val="auto"/>
                <w:kern w:val="0"/>
                <w:sz w:val="21"/>
                <w:szCs w:val="21"/>
                <w:highlight w:val="none"/>
                <w:u w:val="none"/>
                <w:lang w:val="en-US" w:eastAsia="zh-CN" w:bidi="ar"/>
              </w:rPr>
              <w:t>规划主管部门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1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对随意倾倒、抛洒、堆放城市生活垃圾的处罚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【部门规章】《城市生活垃圾管理办法》（2015年建设部令第24号修正）</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第十六条 单位和个人应当按照规定的地点、时间等要求，将生活垃圾投放到指定的垃圾容器或者收集场所。废旧家具等大件垃圾应当按规定时间投放在指定的收集场所。</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城市生活垃圾实行分类收集的地区，单位和个人应当按照规定的分类要求，将生活垃圾装入相应的垃圾袋内，投入指定的垃圾容器或者收集场所。</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宾馆、饭店、餐馆以及机关、院校等单位应当按照规定单独收集、存放本单位产生的餐厨垃圾，并交符合本办法要求的城市生活垃圾收集、运输企业运至规定的城市生活垃圾处理场所。</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w:t>
            </w:r>
            <w:r>
              <w:rPr>
                <w:rFonts w:hint="eastAsia" w:ascii="宋体" w:hAnsi="宋体" w:cs="宋体"/>
                <w:i w:val="0"/>
                <w:color w:val="auto"/>
                <w:kern w:val="0"/>
                <w:sz w:val="21"/>
                <w:szCs w:val="21"/>
                <w:highlight w:val="none"/>
                <w:u w:val="none"/>
                <w:lang w:val="en-US" w:eastAsia="zh-CN" w:bidi="ar"/>
              </w:rPr>
              <w:t>人民政府建设（</w:t>
            </w:r>
            <w:r>
              <w:rPr>
                <w:rFonts w:hint="eastAsia" w:ascii="宋体" w:hAnsi="宋体" w:eastAsia="宋体" w:cs="宋体"/>
                <w:i w:val="0"/>
                <w:color w:val="auto"/>
                <w:kern w:val="0"/>
                <w:sz w:val="21"/>
                <w:szCs w:val="21"/>
                <w:highlight w:val="none"/>
                <w:u w:val="none"/>
                <w:lang w:val="en-US" w:eastAsia="zh-CN" w:bidi="ar"/>
              </w:rPr>
              <w:t>环境卫生</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对从事城市生活垃圾经营性清扫、收集、运输的企业在运输过程中沿途丢弃、遗撒生活垃圾的处罚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【部门规章】《城市生活垃圾管理办法》（2015年建设部令第24号修正）</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第四十四条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w:t>
            </w:r>
            <w:r>
              <w:rPr>
                <w:rFonts w:hint="eastAsia" w:ascii="宋体" w:hAnsi="宋体" w:cs="宋体"/>
                <w:i w:val="0"/>
                <w:color w:val="auto"/>
                <w:kern w:val="0"/>
                <w:sz w:val="21"/>
                <w:szCs w:val="21"/>
                <w:highlight w:val="none"/>
                <w:u w:val="none"/>
                <w:lang w:val="en-US" w:eastAsia="zh-CN" w:bidi="ar"/>
              </w:rPr>
              <w:t>人民政府建设（</w:t>
            </w:r>
            <w:r>
              <w:rPr>
                <w:rFonts w:hint="eastAsia" w:ascii="宋体" w:hAnsi="宋体" w:eastAsia="宋体" w:cs="宋体"/>
                <w:i w:val="0"/>
                <w:color w:val="auto"/>
                <w:kern w:val="0"/>
                <w:sz w:val="21"/>
                <w:szCs w:val="21"/>
                <w:highlight w:val="none"/>
                <w:u w:val="none"/>
                <w:lang w:val="en-US" w:eastAsia="zh-CN" w:bidi="ar"/>
              </w:rPr>
              <w:t>环境卫生</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14" w:lineRule="exact"/>
              <w:ind w:left="0" w:leftChars="0"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14"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14" w:lineRule="exact"/>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对物业服务企业将一个物业管理区域内的全部物业管理一并委托给他人的处罚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【行政法规】《物业管理条例》（2018年第三次修订）</w:t>
            </w:r>
          </w:p>
          <w:p>
            <w:pPr>
              <w:keepNext w:val="0"/>
              <w:keepLines w:val="0"/>
              <w:pageBreakBefore w:val="0"/>
              <w:widowControl/>
              <w:kinsoku/>
              <w:wordWrap/>
              <w:overflowPunct/>
              <w:topLinePunct w:val="0"/>
              <w:autoSpaceDE/>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给业主造成损失的，依法承担赔偿责任。</w:t>
            </w:r>
          </w:p>
          <w:p>
            <w:pPr>
              <w:keepNext w:val="0"/>
              <w:keepLines w:val="0"/>
              <w:pageBreakBefore w:val="0"/>
              <w:widowControl/>
              <w:kinsoku/>
              <w:wordWrap/>
              <w:overflowPunct/>
              <w:topLinePunct w:val="0"/>
              <w:autoSpaceDE/>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【地方性法规】《宁夏回族自治区物业管理条例》（2010年自治区第十届人民代表大会常务委员会会议通过）</w:t>
            </w:r>
          </w:p>
          <w:p>
            <w:pPr>
              <w:keepNext w:val="0"/>
              <w:keepLines w:val="0"/>
              <w:pageBreakBefore w:val="0"/>
              <w:widowControl/>
              <w:kinsoku/>
              <w:wordWrap/>
              <w:overflowPunct/>
              <w:topLinePunct w:val="0"/>
              <w:autoSpaceDE/>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第五十二条 违反本条例的规定，物业服务企业将物业管理区域范围内的全部物业管理委托给他人的，由市、县（市、区）房地产行政主管部门依据职权责令限期改正，处以委托合同价款百分之三十以上百分之五十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314" w:lineRule="exact"/>
              <w:jc w:val="both"/>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w:t>
            </w:r>
            <w:r>
              <w:rPr>
                <w:rFonts w:hint="eastAsia" w:ascii="宋体" w:hAnsi="宋体" w:cs="宋体"/>
                <w:i w:val="0"/>
                <w:color w:val="auto"/>
                <w:kern w:val="0"/>
                <w:sz w:val="21"/>
                <w:szCs w:val="21"/>
                <w:highlight w:val="none"/>
                <w:u w:val="none"/>
                <w:lang w:val="en-US" w:eastAsia="zh-CN" w:bidi="ar"/>
              </w:rPr>
              <w:t>人民政府房地产</w:t>
            </w:r>
            <w:r>
              <w:rPr>
                <w:rFonts w:hint="eastAsia" w:ascii="宋体" w:hAnsi="宋体" w:eastAsia="宋体" w:cs="宋体"/>
                <w:i w:val="0"/>
                <w:color w:val="auto"/>
                <w:kern w:val="0"/>
                <w:sz w:val="21"/>
                <w:szCs w:val="21"/>
                <w:highlight w:val="none"/>
                <w:u w:val="none"/>
                <w:lang w:val="en-US" w:eastAsia="zh-CN" w:bidi="ar"/>
              </w:rPr>
              <w:t>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对建筑垃圾储运消纳场受纳工业垃圾、生活垃圾和有毒有害垃圾的处罚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【部门规章】《城市建筑垃圾管理规定》（2005年建设部令第139号）</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第二十一条 建筑垃圾储运消纳场受纳工业垃圾、生活垃圾和有毒有害垃圾的，由城市人民政府市容环境卫生主管部门责令限期改正，给予警告，处5000元以上1万元以下罚款。 </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对施工单位未及时清运工程施工过程中产生的建筑垃圾的处罚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【部门规章】《城市建筑垃圾管理规定》（2005年建设部令第139号）</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第二十二条 施工单位未及时清运工程施工过程中产生的建筑垃圾，造成环境污染的，由城市人民政府市容环境卫生主管部门责令限期改正，给予警告，处5000元以上5万元以下罚款。</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施工单位将建筑垃圾交给个人或者未经核准从事建筑垃圾运输的单位处置的，由城市人民政府市容环境卫生主管部门责令限期改正，给予警告，处1万元以上10万元以下罚款。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1"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0</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对单位和个人随意倾倒、抛撒或者堆放建筑垃圾的处罚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【部门规章】《城市建筑垃圾管理规定》（2005年建设部令第139号）</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第十五条 任何单位和个人不得随意倾倒、抛撒或者堆放建筑垃圾。 </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第二十六条 任何单位和个人随意倾倒、抛撒或者堆放建筑垃圾的，由城市人民政府市容环境卫生主管部门责令限期改正，给予警告，并对单位处5000元以上5万元以下罚款，对个人处200元以下罚款。 </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1</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对在运输建筑垃圾过程中沿途丢弃、遗撒建筑垃圾的处罚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【部门规章】《城市建筑垃圾管理规定》（2005年建设部令第139号）</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第二十三条 处置建筑垃圾的单位在运输建筑垃圾过程中沿途丢弃、遗撒建筑垃圾的，由城市人民政府市容环境卫生主管部门责令限期改正，给予警告，处5000元以上5万元以下罚款。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8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2</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对擅自拆除、迁移环境卫生设施的处罚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【行政法规】《城市市容和环境卫生管理条例》（2017年国务院令第676号修正）</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【地方性法规】《宁夏回族自治区市容环境卫生管理条例》（2023年第四次修正）</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第十四条 车站、机场、广场、大型商场、公园、旅游景点、文化体育娱乐场所、城市加油站、高速公路和其他道路两侧的加油站等公共场所，应当按照环境卫生设施标准，配套建设公共厕所和其他环境卫生设施。配套建设的公共厕所及其他环境卫生设施应当与主体工程同时投入使用。</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任何单位和个人不得损坏或者擅自拆除环境卫生设施。因建设需要必须拆除的，建设单位应当事先提出拆迁方案，报市容环境卫生行政主管部门批准。</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第四十三条 违反本条例规定，未经批准擅自拆除环境卫生设施或者未按批准的拆迁方案进行拆迁的，责令停止违法行为，限期采取补救措施，对违法行为单位处十万元以上一百万元以下的罚款。</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违反本条例规定，损坏各类环境卫生设施及其附属设施的，责令恢复原状，处二百元至二千元的罚款；构成违反治安管理行为的，由公安机关依法处理。 </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设区的市级、县级人民政府市容环境卫生行政主管部门或者其委托的单位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3</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【行政法规】《城市市容和环境卫生管理条例》（2017年国务院令第676号修正）</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【地方性法规】《宁夏回族自治区市容环境卫生管理条例》（2023年第四次修正）</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第二十二条 一切单位和个人都应当保持建筑物的整洁、美观。在城市人民政府规定的街道的临街建筑物的阳台和窗外，不得堆放、吊挂有碍市容的物品。搭建或者封闭阳台应当符合市容环境卫生行政主管部门的有关规定。</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第二十四条 临街建筑物上安装空调室外机、排气扇（管）、防盗窗（网）、遮阳篷、太阳能热水器等，应当保持外形整洁、美观，并将空调室外机的冷却水引入室内或者下水道，不得随意排放。</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第二十五条 户外广告、霓虹灯、标语牌、画廊、橱窗、招牌、指示牌等设施的规格应当符合城市容貌标准，其所有者或者管理者应当保证安全、牢固，并保持其外形整洁、美观。设置大型户外广告，应当经市容环境卫生行政主管部门同意后，按照自治区户外广告监督管理的规定办理审批手续。公共场所设施的标志、招牌、户外广告牌应当内容文明健康，语言文字规范，外形美观整洁，设置保证安全。</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第二十六条 进入市区行驶的交通运输工具，应当保持外型完好、整洁。利用公交车等机动车辆进行广告宣传的，应当保持广告画面和字迹整洁完好，语言文字规范；出现陈旧、污损的，应当及时清洗、修复或者更换。</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第二十七条 市容环境卫生行政主管部门应当按照不影响市容环境卫生、安全、道路通行和方便居民生活的原则，合理划分区域，设置餐饮、集市、季节性农副产品销售等摊点，明确经营时间、经营范围；可以根据需要，确定并公布允许超出门窗、外墙进行店外经营、作业或者展示商品的区域范围、时段、业态，明确经营者的市容环境卫生责任等管理要求。禁止在市容环境卫生行政主管部门划定的区域以外摆摊设点。</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第二十八条 一切单位和个人，都不得在城市建筑物、设施以及树木上涂写、刻画。单位和个人在城市建筑物、设施上张挂、张贴宣传品等，应当经市容环境卫生行政主管部门或者其他有关部门批准。</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第二十九条 城市内的工程施工现场应当符合下列规定：（一）在批准的占地范围内封闭作业；（二）及时清运渣土，保持整洁；（三）出入工地的车辆保持清洁；（四）施工用水按照规定排放，不得外泄污染路面；（五）临街工地周围设置安全护栏和围蔽设施不低于1.8米；（六）停工场地应当及时整理并做必要的覆盖；（七）工程竣工后，应当及时清理和平整场地；（八）有符合卫生要求的厕所和垃圾容器。</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第四十四条 有下列情形之一的，责令限期改正，给予警告；逾期拒不改正的，给予罚款：（一）临街建筑物外立面污浊的，处以五百元至二千元的罚款；（二）在临街建筑物的阳台和窗外堆放、吊挂有碍市容物品的，处以二十元至五十元的罚款；（三）临街建筑物上安装空调室外机、排气扇（管）、防盗窗（网）、遮阳篷、太阳能热水器等不符合市容管理规定的，处以二十元至二百元的罚款；（四）公交车等机动车辆上的广告画面和字迹陈旧、污损，未及时清洗、修复或者更换的，对广告经营者或者车辆营运人处以五十元至二百元的罚款；（五）在市容环境卫生行政主管部门划定的区域以外摆摊设点的，处以一百元至五百元的罚款；（六）在城市建筑物、设施以及树木上涂写、刻画的，对行为人处以一百元至一千元的罚款；情节严重的，处以五百元至二千元的罚款；（七）未经批准在城市建筑物、设施上张挂、张贴宣传品的，处以二百元至一千元的罚款；（八）城市内的工程施工现场不符合市容环境卫生规定的，处以五百元至一千元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w:t>
            </w:r>
            <w:r>
              <w:rPr>
                <w:rFonts w:hint="eastAsia" w:ascii="宋体" w:hAnsi="宋体" w:cs="宋体"/>
                <w:i w:val="0"/>
                <w:color w:val="auto"/>
                <w:kern w:val="0"/>
                <w:sz w:val="21"/>
                <w:szCs w:val="21"/>
                <w:highlight w:val="none"/>
                <w:u w:val="none"/>
                <w:lang w:val="en-US" w:eastAsia="zh-CN" w:bidi="ar"/>
              </w:rPr>
              <w:t>市容</w:t>
            </w:r>
            <w:r>
              <w:rPr>
                <w:rFonts w:hint="eastAsia" w:ascii="宋体" w:hAnsi="宋体" w:eastAsia="宋体" w:cs="宋体"/>
                <w:i w:val="0"/>
                <w:color w:val="auto"/>
                <w:kern w:val="0"/>
                <w:sz w:val="21"/>
                <w:szCs w:val="21"/>
                <w:highlight w:val="none"/>
                <w:u w:val="none"/>
                <w:lang w:val="en-US" w:eastAsia="zh-CN" w:bidi="ar"/>
              </w:rPr>
              <w:t>环境卫生行政主管部门</w:t>
            </w:r>
            <w:r>
              <w:rPr>
                <w:rFonts w:hint="eastAsia" w:ascii="宋体" w:hAnsi="宋体" w:cs="宋体"/>
                <w:i w:val="0"/>
                <w:color w:val="auto"/>
                <w:kern w:val="0"/>
                <w:sz w:val="21"/>
                <w:szCs w:val="21"/>
                <w:highlight w:val="none"/>
                <w:u w:val="none"/>
                <w:lang w:val="en-US" w:eastAsia="zh-CN" w:bidi="ar"/>
              </w:rPr>
              <w:t>或者其委托的单位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beforeAutospacing="0" w:line="304" w:lineRule="exact"/>
              <w:ind w:firstLine="0" w:firstLineChars="0"/>
              <w:jc w:val="center"/>
              <w:textAlignment w:val="auto"/>
              <w:outlineLvl w:val="9"/>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4</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04" w:lineRule="exact"/>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04" w:lineRule="exact"/>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对</w:t>
            </w:r>
            <w:r>
              <w:rPr>
                <w:rFonts w:hint="eastAsia" w:ascii="宋体" w:hAnsi="宋体" w:eastAsia="宋体" w:cs="宋体"/>
                <w:i w:val="0"/>
                <w:color w:val="auto"/>
                <w:kern w:val="0"/>
                <w:sz w:val="21"/>
                <w:szCs w:val="21"/>
                <w:highlight w:val="none"/>
                <w:u w:val="none"/>
                <w:lang w:val="en-US" w:eastAsia="zh-CN" w:bidi="ar"/>
              </w:rPr>
              <w:t>在公共场所随地吐痰、擤鼻涕、便溺的；单位或者个人违反本条例规定，在市区内饲养家畜家禽的处罚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【行政法规】《城市市容和环境卫生管理条例》（2017年国务院令第676号修正）</w:t>
            </w:r>
          </w:p>
          <w:p>
            <w:pPr>
              <w:keepNext w:val="0"/>
              <w:keepLines w:val="0"/>
              <w:pageBreakBefore w:val="0"/>
              <w:widowControl/>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p>
            <w:pPr>
              <w:keepNext w:val="0"/>
              <w:keepLines w:val="0"/>
              <w:pageBreakBefore w:val="0"/>
              <w:widowControl/>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【地方性法规】《宁夏回族自治区市容环境卫生管理条例》（2023年第四次修正）</w:t>
            </w:r>
          </w:p>
          <w:p>
            <w:pPr>
              <w:keepNext w:val="0"/>
              <w:keepLines w:val="0"/>
              <w:pageBreakBefore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第三十条 禁止下列影响环境卫生的行为：（一）在公共场所随地吐痰、擤鼻涕、便溺；（二）在公共场所乱扔烟头、纸屑、果皮（核）、口香糖、饮料瓶、废旧电池和一次性餐具、塑料等废弃物；（三）在街巷和居住区焚烧垃圾、枯枝树叶和冥纸或者抛撒冥纸；（四）乱倒垃圾、污水、渣土、粪便等污物；（五）在街巷和居住区从事屠宰家畜家禽和加工肉类、水产品等影响公共环境卫生的经营活动；（六）在街道两侧从事经营性废品收购和废弃物接纳作业；（七）影响环境卫生的其他行为。</w:t>
            </w:r>
          </w:p>
          <w:p>
            <w:pPr>
              <w:keepNext w:val="0"/>
              <w:keepLines w:val="0"/>
              <w:pageBreakBefore w:val="0"/>
              <w:widowControl/>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第三十三条 按国家行政建制设立的市的市区内，禁止饲养鸡、鸭、鹅、兔、羊、猪等家畜家禽；因教学、科研以及其他特殊需要饲养的除外。</w:t>
            </w:r>
          </w:p>
          <w:p>
            <w:pPr>
              <w:keepNext w:val="0"/>
              <w:keepLines w:val="0"/>
              <w:pageBreakBefore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第四十五条 有下列情形之一的，给予行政处罚:（一）在公共场所随地吐痰、擤鼻涕、便溺，给予警告，并可处五元至五十元的罚款；（二）单位或者个人违反本条例规定，在市区内饲养家畜家禽的，责令限期改正；逾期拒不改正的，处以二百元至一千元的罚款。</w:t>
            </w:r>
          </w:p>
        </w:tc>
        <w:tc>
          <w:tcPr>
            <w:tcW w:w="1185"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kinsoku/>
              <w:wordWrap/>
              <w:overflowPunct/>
              <w:topLinePunct w:val="0"/>
              <w:autoSpaceDE/>
              <w:autoSpaceDN/>
              <w:bidi w:val="0"/>
              <w:adjustRightInd/>
              <w:snapToGrid/>
              <w:spacing w:beforeAutospacing="0"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设区的市级、县级人民政府市容环境卫生行政主管部门</w:t>
            </w:r>
            <w:r>
              <w:rPr>
                <w:rFonts w:hint="eastAsia" w:ascii="宋体" w:hAnsi="宋体" w:cs="宋体"/>
                <w:i w:val="0"/>
                <w:color w:val="auto"/>
                <w:kern w:val="0"/>
                <w:sz w:val="21"/>
                <w:szCs w:val="21"/>
                <w:highlight w:val="none"/>
                <w:u w:val="none"/>
                <w:lang w:val="en-US" w:eastAsia="zh-CN" w:bidi="ar"/>
              </w:rPr>
              <w:t>或者其委托的单位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beforeAutospacing="0"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5</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对围湖造地或者未经批准围垦河道阻碍行洪等行为的处罚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【法律】《中华人民共和国水法》（2016年第二次修正）</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【法律】《中华人民共和国防洪法》（2016年第三次修正） </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第十五条 国务院水行政主管部门应当会同有关部门和省、自治区、直辖市人民政府制定长江、黄河、珠江、辽河、淮河、海河入海河口的整治规划。</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第二十三条 禁止围湖造地。已经围垦的，应当按照国家规定的防洪标准进行治理，有计划地退地还湖。禁止围垦河道。确需围垦的，应当进行科学论证，经水行政主管部门确认不妨碍行洪、输水后，报省级以上人民政府批准。</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lang w:val="en-US" w:eastAsia="zh-CN"/>
              </w:rPr>
            </w:pPr>
            <w:r>
              <w:rPr>
                <w:rFonts w:hint="eastAsia" w:ascii="宋体" w:hAnsi="宋体" w:eastAsia="宋体" w:cs="宋体"/>
                <w:i w:val="0"/>
                <w:color w:val="auto"/>
                <w:kern w:val="0"/>
                <w:sz w:val="21"/>
                <w:szCs w:val="21"/>
                <w:highlight w:val="none"/>
                <w:u w:val="none"/>
                <w:lang w:val="en-US" w:eastAsia="zh-CN" w:bidi="ar"/>
              </w:rPr>
              <w:t>第五十五条 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三）在行洪河道内种植阻碍行洪的林木和高秆作物的。</w:t>
            </w:r>
          </w:p>
        </w:tc>
        <w:tc>
          <w:tcPr>
            <w:tcW w:w="1185"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自治区级、设区的市级、县级人民政府水行政主管部门或者流域管理机构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4"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beforeAutospacing="0"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16</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对未经批准擅自取水或未依照批准的取水许可规定条件取水的处罚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【法律】《中华人民共和国水法》（2016年第二次修正）</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44"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pacing w:val="6"/>
                <w:kern w:val="0"/>
                <w:sz w:val="21"/>
                <w:szCs w:val="21"/>
                <w:highlight w:val="none"/>
                <w:u w:val="none"/>
                <w:lang w:val="en-US" w:eastAsia="zh-CN" w:bidi="ar"/>
              </w:rPr>
              <w:t>第六十九条 有下列行为之一的，由县级以上人民政府水行政主管部门或者流域管理机构依据职权，责令停止违法行为，限期采取补救措施，处二万元以上十万元以下的罚款；情节严重的，吊销其取水许可证：</w:t>
            </w:r>
            <w:r>
              <w:rPr>
                <w:rFonts w:hint="eastAsia" w:ascii="宋体" w:hAnsi="宋体" w:eastAsia="宋体" w:cs="宋体"/>
                <w:i w:val="0"/>
                <w:color w:val="auto"/>
                <w:kern w:val="0"/>
                <w:sz w:val="21"/>
                <w:szCs w:val="21"/>
                <w:highlight w:val="none"/>
                <w:u w:val="none"/>
                <w:lang w:val="en-US" w:eastAsia="zh-CN" w:bidi="ar"/>
              </w:rPr>
              <w:t>（一）未经批准擅自取水的；（二）未依照批准的取水许可规定条件取水的。</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【法律】《中华人民共和国黄河保护法》（2022年第十三届全国人民代表大会常务委员会会议通过）</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一百一十三条  违反本法规定，未经批准擅自取水，或者未依照批准的取水许可规定条件取水的，由县级以上地方人民政府水行政主管部门或者黄河流域管理机构及其所属管理机构责令停止违法行为，限期采取补救措施，处五万元以上五十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【行政法规】《取水许可和水资源费征收管理条例》（2017年国务院令第676号修订）</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第四十八条 未经批准擅自取水，或者未依照批准的取水许可规定条件取水的，依照《中华人民共和国水法》第六十九条规定处罚；给他人造成妨碍或者损失的，应当排除妨碍、赔偿损失。 </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自治区级、设区的市级、县级人民政府水行政主管部门或者流域管理机构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beforeAutospacing="0"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17</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对侵占、毁坏水工程及水利设施、从事影响水利工程安全行为的处罚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【法律】《中华人民共和国水法》（2016年第二次修正）</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自治区级、设区的市级、县级人民政府水行政主管部门或者流域管理机构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18</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对侵占、破坏水源和抗旱设施行为的处罚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【行政法规】《中华人民共和国抗旱条例》（2009年国务院第552号令）</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自治区级、设区的市级、县级人民政府水行政主管部门或者流域管理机构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19</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对单位和个人占用行水、蓄水区域或因生产、集市贸易或者其它活动使行洪沟道成为通行道行为的处罚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【地方性法规】《宁夏回族自治区水工程管理条例》（2022年修正）</w:t>
            </w:r>
          </w:p>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第二十一条 退水沟道、蓄水塘洼，由县级以上人民政府水行政主管部门划定。任何单位和个人不得占用行水、蓄水区域。</w:t>
            </w:r>
          </w:p>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第二十二条 汛期内行洪沟道禁止通行，任何单位和个人不得因生产、集市贸易或者其他活动使行洪沟道成为通行道。因紧急情况作为通行道时，应当经县级以上人民政府水行政主管部门或者防汛指挥机构批准，并采取防汛安全措施。</w:t>
            </w:r>
          </w:p>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第四十二条 违反本条例第二十一条、二十二条规定的，由县级以上人民政府水行政主管部门或者自治区水行政主管部门所属的水工程管理机构依据职权责令纠正违法行为，可以处一万元以上五万元以下罚款。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自治区级、设区的市级、县级人民政府水行政主管部门或者流域管理机构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20</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对未经批准，擅自在水工程管理范围内开采地下资源或者进行考古发掘等行为的处罚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【地方性法规】《宁夏回族自治区水工程管理条例》（2022年修正）</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第二十六条 水工程管理范围内，禁止下列行为：（一）扒口、爆破、建窑、筑坟、打井、开矿，修建房屋或者从事其他建筑活动；（二）弃置砂石淤泥、存放物料，倾倒垃圾、废渣、尾矿，掩埋污染水体的物体；（三）损毁水工程及其观测、通讯、供电、照明、交通、消防等附属设施；（四）在库区、蓄滞洪区、湖泊、堤坝或者渠堤上从事影响蓄洪、行洪活动；（五）向水域排放超过国家标准的污水，以爆炸、投毒、电击或者打坝等方式的捕捞活动；（六）在水闸工作桥、测水桥、渡槽、无路面的坝顶、堤顶上行驶车辆。但是维护水工程的车辆除外；（七）擅自操作水工程设备或者取用水；（八）其他妨碍水工程运行或者危及水工程安全的行为。</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第二十七条 未</w:t>
            </w:r>
            <w:r>
              <w:rPr>
                <w:rFonts w:hint="eastAsia" w:ascii="宋体" w:hAnsi="宋体" w:eastAsia="宋体" w:cs="宋体"/>
                <w:i w:val="0"/>
                <w:color w:val="auto"/>
                <w:spacing w:val="6"/>
                <w:kern w:val="0"/>
                <w:sz w:val="21"/>
                <w:szCs w:val="21"/>
                <w:highlight w:val="none"/>
                <w:u w:val="none"/>
                <w:lang w:val="en-US" w:eastAsia="zh-CN" w:bidi="ar"/>
              </w:rPr>
              <w:t>经县级以上人民政府水行政主管部门批准，在水工程管理范围内，不得从事下列活动：</w:t>
            </w:r>
            <w:r>
              <w:rPr>
                <w:rFonts w:hint="eastAsia" w:ascii="宋体" w:hAnsi="宋体" w:eastAsia="宋体" w:cs="宋体"/>
                <w:i w:val="0"/>
                <w:color w:val="auto"/>
                <w:kern w:val="0"/>
                <w:sz w:val="21"/>
                <w:szCs w:val="21"/>
                <w:highlight w:val="none"/>
                <w:u w:val="none"/>
                <w:lang w:val="en-US" w:eastAsia="zh-CN" w:bidi="ar"/>
              </w:rPr>
              <w:t>（一）钻探、采石、采砂、取土、淘金；（二）设置取用水设施、向水域排水、挖筑鱼池、水塘；（三）开采地下资源或者进行考古发掘；（四）在坝、渠、沟堤上修路；（五）砍伐水工程防护林木；（六）在通讯、供电等水利专用线路上搭接其他线路。</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第二十八条 县级以上人民政府水行政主管部门应当按照自治区人民政府有关规定，在水工程管理范围相邻地域划定水工程保护范围，并确定保护职责。在水工程保护范围内，禁止从事影响水工程运行和危害水工程安全的爆破、打井、采石、采砂、取土等活动。</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第四十三条 违反本条例第二十六条、第二十七条、第二十八条第二款规定的，由县级以上人民政府水行政主管部门或者自治区水行政主管部门所属的水工程管理机构依据职权责令纠正违法行为，采取补救措施可以并处五万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自治区级、设区的市级、县级人民政府水行政主管部门或者流域管理机构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0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21</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对在河流、湖泊、水库、渠道以及专门存放地以外的沟道倾倒固体废弃物的处罚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ind w:left="210" w:leftChars="100" w:firstLine="210" w:firstLineChars="1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【地方性法规】《宁夏回族自治区实施〈中华人民共和国水土保持法〉办法》（2015年修订）</w:t>
            </w:r>
          </w:p>
          <w:p>
            <w:pPr>
              <w:keepNext w:val="0"/>
              <w:keepLines w:val="0"/>
              <w:pageBreakBefore w:val="0"/>
              <w:widowControl/>
              <w:kinsoku/>
              <w:wordWrap/>
              <w:overflowPunct/>
              <w:topLinePunct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第二十四条 违反本办法规定，在河流、湖泊、水库、渠道以及专门存放地以外的沟道倾倒固体废弃物的，由县级以上人民政府水行政主管部门责令停止违法行为，限期清理，按照倾倒数量处每立方米十元以上二十元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县级以上人民政府水行政主管部门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line="320"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22</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自治区农业农村厅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对在县级以上人民政府划定区域内露天焚烧秸秆、落叶、枯草等产生烟尘污染的物质的处罚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【法律】《中华人民共和国大气污染防治法》（2018年修正）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第七十七条 省、自治区、直辖市人民政府应当划定区域，禁止露天焚烧秸秆、落叶等产生烟尘污染的物质。</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违反本法规定，在城市人民政府禁止的时段和区域内燃放烟花爆竹的，由县级以上地方人民政府确定的监督管理部门依法予以处罚。</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【地方性法规】《宁夏回族自治区大气污染防治条例》（2019年修正）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第三十一条 县级以上人民政府鼓励、支持对产生有毒有害、恶臭或者强烈异味气体物质的综合利用和处置，并公布处置场所。禁止在城乡规划区、人口集中地区和其他依法需要特殊保护的区域内，焚烧油毡、橡胶、塑料、皮革、沥青、垃圾等物质。</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禁止在县级以上人民政府划定的区域内，露天焚烧秸秆、落叶、枯草等产生烟尘污染的物质。</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设区的市级、县级人民政府确定的监督管理部门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23</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自治区卫生健康委</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对</w:t>
            </w:r>
            <w:r>
              <w:rPr>
                <w:rFonts w:hint="eastAsia" w:ascii="宋体" w:hAnsi="宋体" w:eastAsia="宋体" w:cs="宋体"/>
                <w:i w:val="0"/>
                <w:color w:val="auto"/>
                <w:kern w:val="0"/>
                <w:sz w:val="21"/>
                <w:szCs w:val="21"/>
                <w:highlight w:val="none"/>
                <w:u w:val="none"/>
                <w:lang w:val="en-US" w:eastAsia="zh-CN" w:bidi="ar"/>
              </w:rPr>
              <w:t>在禁止吸烟场所吸烟的处罚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【地方性法规】《宁夏回族自治区爱国卫生工作条例》（2022年修订）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第三十六条 下列公共场所禁止吸烟（含电子烟）：（一）医疗卫生机构；（二）中小学校、幼儿园、托育机构以及未成年人集中活动的其他场所；（三）中等职业学校，普通高等学校教学区、办公区、图书馆等室内场所；（四）公共汽车、出租车等公共交通工具、电梯轿厢内；（五）飞机、火车、长途汽车等公共交通工具的候车室、售票厅等室内场所；（六）影剧院、音乐厅、展览馆、博物馆、美术馆、图书馆、科技馆、文化馆、体育馆等公共文化场馆；（七）法律、法规规定的其他禁止吸烟场所。</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第四十九条 违反本条例规定，在禁止吸烟场所吸烟的，由县级以上人民政府卫生健康、教育、交通运输、文化和旅游等部门按照各自职责，责令改正</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拒不改正的，处五十元罚款。</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第五十条 违反本条例规定，禁止吸烟场所的经营者或者管理者未履行相应控烟职责的，由县级以上人民政府卫生健康、教育、交通运输、文化和旅游等部门按照各自职责，责令限期改正，并给予警告</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对逾期不改正的，处一千元以上五千元以下罚款。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县级以上人民政府</w:t>
            </w:r>
            <w:r>
              <w:rPr>
                <w:rFonts w:hint="eastAsia" w:ascii="宋体" w:hAnsi="宋体" w:cs="宋体"/>
                <w:i w:val="0"/>
                <w:color w:val="auto"/>
                <w:kern w:val="0"/>
                <w:sz w:val="21"/>
                <w:szCs w:val="21"/>
                <w:highlight w:val="none"/>
                <w:u w:val="none"/>
                <w:lang w:val="en-US" w:eastAsia="zh-CN" w:bidi="ar"/>
              </w:rPr>
              <w:t>卫生健康、教育、交通运输、文化和旅游等部门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99"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40"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24</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宁夏消防救援总队</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对占用、堵塞、封闭疏散通道、安全出口或者有其他妨碍安全疏散行为的处罚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【法律】《中华人民共和国消防法》（2021年修正）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第六十条 单位违反本法规定，有下列行为之一的，责令改正，处五千元以上五万元以下罚款：（三）占用、堵塞、封闭疏散通道、安全出口或者有其他妨碍安全疏散行为的；个人有前款第二项、第三项、第四项、第五项行为之一的，处警告或者五百元以下罚款。有本条第一款第三项、第四项、第五项、第六项行为，经责令改正拒不改正的，强制执行，所需费用由违法行为人承担。</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【地方规章】《宁夏回族自治区个体经营场所消防安全管理办法》（2022年修正）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第二十二条 </w:t>
            </w:r>
            <w:r>
              <w:rPr>
                <w:rFonts w:hint="eastAsia" w:ascii="宋体" w:hAnsi="宋体" w:eastAsia="宋体" w:cs="宋体"/>
                <w:i w:val="0"/>
                <w:color w:val="auto"/>
                <w:spacing w:val="6"/>
                <w:kern w:val="0"/>
                <w:sz w:val="21"/>
                <w:szCs w:val="21"/>
                <w:highlight w:val="none"/>
                <w:u w:val="none"/>
                <w:lang w:val="en-US" w:eastAsia="zh-CN" w:bidi="ar"/>
              </w:rPr>
              <w:t>个体经营场所有下列情形之一的，由消防救援机构责令改正，处警告或者五百元以下罚款</w:t>
            </w:r>
            <w:r>
              <w:rPr>
                <w:rFonts w:hint="eastAsia" w:ascii="宋体" w:hAnsi="宋体" w:eastAsia="宋体" w:cs="宋体"/>
                <w:i w:val="0"/>
                <w:color w:val="auto"/>
                <w:kern w:val="0"/>
                <w:sz w:val="21"/>
                <w:szCs w:val="21"/>
                <w:highlight w:val="none"/>
                <w:u w:val="none"/>
                <w:lang w:val="en-US" w:eastAsia="zh-CN" w:bidi="ar"/>
              </w:rPr>
              <w:t>：（二）占用、堵塞、封闭疏散通道、安全出口或者有其他妨碍安全疏散行为的。</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40"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25</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宁夏消防救援总队</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对埋压、圈占、遮挡消火栓或者占用防火间距的处罚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【法律】《中华人民共和国消防法》（2021年修正）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第六十条 单位违反本法规定，有下列行为之一的，责令改正，处五千元以上五万元以下罚款：（四）埋压、圈占、遮挡消火栓或者占用防火间距的；个人有前款第二项、第三项、第四项、第五项行为之一的，处警告或者五百元以下罚款。有本条第一款第三项、第四项、第五项、第六项行为，经责令改正拒不改正的，强制执行，所需费用由违法行为人承担。</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【地方规章】《宁夏回族自治区个体经营场所消防安全管理办法》（2022年修正）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第二十二条 </w:t>
            </w:r>
            <w:r>
              <w:rPr>
                <w:rFonts w:hint="eastAsia" w:ascii="宋体" w:hAnsi="宋体" w:eastAsia="宋体" w:cs="宋体"/>
                <w:i w:val="0"/>
                <w:color w:val="auto"/>
                <w:spacing w:val="6"/>
                <w:kern w:val="0"/>
                <w:sz w:val="21"/>
                <w:szCs w:val="21"/>
                <w:highlight w:val="none"/>
                <w:u w:val="none"/>
                <w:lang w:val="en-US" w:eastAsia="zh-CN" w:bidi="ar"/>
              </w:rPr>
              <w:t>个体经营场所有下列情形之一的，由消防救援机构责令改正，处警告或者五百元以下罚款：</w:t>
            </w:r>
            <w:r>
              <w:rPr>
                <w:rFonts w:hint="eastAsia" w:ascii="宋体" w:hAnsi="宋体" w:eastAsia="宋体" w:cs="宋体"/>
                <w:i w:val="0"/>
                <w:color w:val="auto"/>
                <w:kern w:val="0"/>
                <w:sz w:val="21"/>
                <w:szCs w:val="21"/>
                <w:highlight w:val="none"/>
                <w:u w:val="none"/>
                <w:lang w:val="en-US" w:eastAsia="zh-CN" w:bidi="ar"/>
              </w:rPr>
              <w:t>（三）埋压、圈占、遮挡消火栓或者占用防火间距的。</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8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40" w:lineRule="exact"/>
              <w:ind w:left="0" w:leftChars="0"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26</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宁夏消防救援总队</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对占用、堵塞、封闭消防车通道、妨碍消防车通行的处罚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【法律】《中华人民共和国消防法》（2021年修正）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第六十条 单位违反本法规定，有下列行为之一的，责令改正，处五千元以上五万元以下罚款：（五）占用、堵塞、封闭消防车通道，妨碍消防车通行的；个人有前款第二项、第三项、第四项、第五项行为之一的，处警告或者五百元以下罚款。有本条第一款第三项、第四项、第五项、第六项行为，经责令改正拒不改正的，强制执行，所需费用由违法行为人承担。</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【地方规章】《宁夏回族自治区个体经营场所消防安全管理办法》（2022年修正）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第二十二条 </w:t>
            </w:r>
            <w:r>
              <w:rPr>
                <w:rFonts w:hint="eastAsia" w:ascii="宋体" w:hAnsi="宋体" w:eastAsia="宋体" w:cs="宋体"/>
                <w:i w:val="0"/>
                <w:color w:val="auto"/>
                <w:spacing w:val="6"/>
                <w:kern w:val="0"/>
                <w:sz w:val="21"/>
                <w:szCs w:val="21"/>
                <w:highlight w:val="none"/>
                <w:u w:val="none"/>
                <w:lang w:val="en-US" w:eastAsia="zh-CN" w:bidi="ar"/>
              </w:rPr>
              <w:t>个体经营场所有下列情形之一的，由消防救援机构责令改正，处警告或者五百元以下罚款</w:t>
            </w:r>
            <w:r>
              <w:rPr>
                <w:rFonts w:hint="eastAsia" w:ascii="宋体" w:hAnsi="宋体" w:eastAsia="宋体" w:cs="宋体"/>
                <w:i w:val="0"/>
                <w:color w:val="auto"/>
                <w:kern w:val="0"/>
                <w:sz w:val="21"/>
                <w:szCs w:val="21"/>
                <w:highlight w:val="none"/>
                <w:u w:val="none"/>
                <w:lang w:val="en-US" w:eastAsia="zh-CN" w:bidi="ar"/>
              </w:rPr>
              <w:t>：（四）占用、堵塞、封闭消防车通道，妨碍消防车通行的。</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1"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40" w:lineRule="exact"/>
              <w:ind w:left="0" w:leftChars="0"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27</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宁夏消防救援总队</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对人员密集场所在门窗上设置影响疏散逃生和灭火救援的障碍物的处罚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【法律】《中华人民共和国消防法》（2021年修正）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第六十条　单位违反本法规定，有下列行为之一的，责令改正，处五千元以上五万元以下罚款：（六）人员密集场所在门窗上设置影响逃生和灭火救援的障碍物的；有本条第一款第三项、第四项、第五项、第六项行为，经责令改正拒不改正的，强制执行，所需费用由违法行为人承担。</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14" w:lineRule="exact"/>
              <w:ind w:left="0" w:leftChars="0"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28</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14"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宁夏消防救援总队</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14"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对在高层民用建筑的公共门厅、疏散走道、楼梯间、安全出口停放电动自行车或者为电动自行车充电，拒不改正的处罚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14"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【部门规章】《高层民用建筑消防安全管理规定》（应急管理部令第5号）</w:t>
            </w:r>
          </w:p>
          <w:p>
            <w:pPr>
              <w:keepNext w:val="0"/>
              <w:keepLines w:val="0"/>
              <w:pageBreakBefore w:val="0"/>
              <w:widowControl/>
              <w:kinsoku/>
              <w:wordWrap/>
              <w:overflowPunct/>
              <w:topLinePunct w:val="0"/>
              <w:autoSpaceDE w:val="0"/>
              <w:autoSpaceDN/>
              <w:bidi w:val="0"/>
              <w:adjustRightInd/>
              <w:snapToGrid/>
              <w:spacing w:beforeAutospacing="0" w:line="314"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第四十七条 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beforeAutospacing="0" w:line="314"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29</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林草局</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对收购没有林木采伐许可证或者其他合法来源证明的木材行为的处罚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【行政法规】《中华人民共和国森林法实施条例》（2018年国务院令第698号第三次修订）</w:t>
            </w:r>
          </w:p>
          <w:p>
            <w:pPr>
              <w:keepNext w:val="0"/>
              <w:keepLines w:val="0"/>
              <w:pageBreakBefore w:val="0"/>
              <w:widowControl/>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第四十条 违反本条例规定，收购没有林木采伐许可证或者其他合法来源证明的木材的，由县级以上人民政府林业主管部门没收非法经营的木材和违法所得，并处违法所得2倍以下的罚款。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r>
              <w:rPr>
                <w:rFonts w:hint="eastAsia" w:ascii="宋体" w:hAnsi="宋体" w:cs="宋体"/>
                <w:i w:val="0"/>
                <w:color w:val="auto"/>
                <w:kern w:val="0"/>
                <w:sz w:val="21"/>
                <w:szCs w:val="21"/>
                <w:highlight w:val="none"/>
                <w:u w:val="none"/>
                <w:lang w:val="en-US" w:eastAsia="zh-CN" w:bidi="ar"/>
              </w:rPr>
              <w:t>级</w:t>
            </w:r>
            <w:r>
              <w:rPr>
                <w:rFonts w:hint="eastAsia" w:ascii="宋体" w:hAnsi="宋体" w:eastAsia="宋体" w:cs="宋体"/>
                <w:i w:val="0"/>
                <w:color w:val="auto"/>
                <w:kern w:val="0"/>
                <w:sz w:val="21"/>
                <w:szCs w:val="21"/>
                <w:highlight w:val="none"/>
                <w:u w:val="none"/>
                <w:lang w:val="en-US" w:eastAsia="zh-CN" w:bidi="ar"/>
              </w:rPr>
              <w:t>、设区的市级、县级人民政府林业主管部门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30</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林草局</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对未采取防沙治沙措施造成土地严重沙化行为的处罚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ind w:left="210" w:leftChars="100" w:firstLine="210" w:firstLineChars="1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【法律】《中华人民共和国防沙治沙法》（2018年修正）</w:t>
            </w:r>
          </w:p>
          <w:p>
            <w:pPr>
              <w:keepNext w:val="0"/>
              <w:keepLines w:val="0"/>
              <w:pageBreakBefore w:val="0"/>
              <w:widowControl/>
              <w:kinsoku/>
              <w:wordWrap/>
              <w:overflowPunct/>
              <w:topLinePunct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第二十五条 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    第三十九条 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r>
              <w:rPr>
                <w:rFonts w:hint="eastAsia" w:ascii="宋体" w:hAnsi="宋体" w:cs="宋体"/>
                <w:i w:val="0"/>
                <w:color w:val="auto"/>
                <w:kern w:val="0"/>
                <w:sz w:val="21"/>
                <w:szCs w:val="21"/>
                <w:highlight w:val="none"/>
                <w:u w:val="none"/>
                <w:lang w:val="en-US" w:eastAsia="zh-CN" w:bidi="ar"/>
              </w:rPr>
              <w:t>级</w:t>
            </w:r>
            <w:r>
              <w:rPr>
                <w:rFonts w:hint="eastAsia" w:ascii="宋体" w:hAnsi="宋体" w:eastAsia="宋体" w:cs="宋体"/>
                <w:i w:val="0"/>
                <w:color w:val="auto"/>
                <w:kern w:val="0"/>
                <w:sz w:val="21"/>
                <w:szCs w:val="21"/>
                <w:highlight w:val="none"/>
                <w:u w:val="none"/>
                <w:lang w:val="en-US" w:eastAsia="zh-CN" w:bidi="ar"/>
              </w:rPr>
              <w:t>、设区的市级、县级人民政府林业草原行政主管部门</w:t>
            </w:r>
          </w:p>
        </w:tc>
      </w:tr>
    </w:tbl>
    <w:p>
      <w:pPr>
        <w:spacing w:before="624" w:beforeLines="200" w:after="312" w:afterLines="100" w:line="480" w:lineRule="auto"/>
        <w:jc w:val="center"/>
        <w:rPr>
          <w:rFonts w:hint="eastAsia" w:ascii="黑体" w:hAnsi="黑体" w:eastAsia="黑体" w:cs="黑体"/>
          <w:color w:val="auto"/>
          <w:sz w:val="36"/>
          <w:szCs w:val="36"/>
        </w:rPr>
      </w:pPr>
      <w:r>
        <w:rPr>
          <w:rFonts w:hint="eastAsia" w:ascii="黑体" w:hAnsi="黑体" w:eastAsia="黑体" w:cs="黑体"/>
          <w:color w:val="auto"/>
          <w:sz w:val="36"/>
          <w:szCs w:val="36"/>
        </w:rPr>
        <w:br w:type="page"/>
      </w:r>
    </w:p>
    <w:p>
      <w:pPr>
        <w:spacing w:before="624" w:beforeLines="200" w:after="312" w:afterLines="100" w:line="480" w:lineRule="auto"/>
        <w:jc w:val="center"/>
        <w:rPr>
          <w:rFonts w:hint="eastAsia" w:ascii="方正小标宋简体" w:hAnsi="方正小标宋简体" w:eastAsia="黑体" w:cs="方正小标宋简体"/>
          <w:color w:val="auto"/>
          <w:sz w:val="36"/>
          <w:szCs w:val="36"/>
          <w:lang w:val="en-US" w:eastAsia="zh-CN"/>
        </w:rPr>
      </w:pPr>
      <w:r>
        <w:rPr>
          <w:rFonts w:hint="eastAsia" w:ascii="黑体" w:hAnsi="黑体" w:eastAsia="黑体" w:cs="黑体"/>
          <w:color w:val="auto"/>
          <w:sz w:val="36"/>
          <w:szCs w:val="36"/>
        </w:rPr>
        <w:t>二、行政检查</w:t>
      </w:r>
      <w:r>
        <w:rPr>
          <w:rFonts w:hint="eastAsia" w:ascii="黑体" w:hAnsi="黑体" w:eastAsia="黑体" w:cs="黑体"/>
          <w:color w:val="auto"/>
          <w:sz w:val="36"/>
          <w:szCs w:val="36"/>
          <w:lang w:eastAsia="zh-CN"/>
        </w:rPr>
        <w:t>（</w:t>
      </w:r>
      <w:r>
        <w:rPr>
          <w:rFonts w:hint="eastAsia" w:ascii="黑体" w:hAnsi="黑体" w:eastAsia="黑体" w:cs="黑体"/>
          <w:color w:val="auto"/>
          <w:sz w:val="36"/>
          <w:szCs w:val="36"/>
          <w:lang w:val="en-US" w:eastAsia="zh-CN"/>
        </w:rPr>
        <w:t>1项</w:t>
      </w:r>
      <w:r>
        <w:rPr>
          <w:rFonts w:hint="eastAsia" w:ascii="黑体" w:hAnsi="黑体" w:eastAsia="黑体" w:cs="黑体"/>
          <w:color w:val="auto"/>
          <w:sz w:val="36"/>
          <w:szCs w:val="36"/>
          <w:lang w:eastAsia="zh-CN"/>
        </w:rPr>
        <w:t>）</w:t>
      </w:r>
    </w:p>
    <w:tbl>
      <w:tblPr>
        <w:tblStyle w:val="9"/>
        <w:tblW w:w="14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10"/>
        <w:gridCol w:w="1380"/>
        <w:gridCol w:w="1018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黑体" w:eastAsia="黑体"/>
                <w:color w:val="auto"/>
                <w:spacing w:val="0"/>
                <w:w w:val="100"/>
                <w:sz w:val="21"/>
                <w:lang w:eastAsia="zh-CN"/>
              </w:rPr>
            </w:pPr>
            <w:r>
              <w:rPr>
                <w:rFonts w:hint="eastAsia" w:ascii="黑体" w:hAnsi="黑体" w:eastAsia="黑体"/>
                <w:color w:val="auto"/>
                <w:spacing w:val="0"/>
                <w:w w:val="100"/>
                <w:sz w:val="21"/>
                <w:lang w:eastAsia="zh-CN"/>
              </w:rPr>
              <w:t>序号</w:t>
            </w:r>
          </w:p>
        </w:tc>
        <w:tc>
          <w:tcPr>
            <w:tcW w:w="1110" w:type="dxa"/>
            <w:tcBorders>
              <w:top w:val="single" w:color="auto" w:sz="4" w:space="0"/>
              <w:left w:val="nil"/>
              <w:bottom w:val="single" w:color="auto" w:sz="4" w:space="0"/>
              <w:right w:val="single" w:color="auto" w:sz="4" w:space="0"/>
            </w:tcBorders>
            <w:noWrap w:val="0"/>
            <w:vAlign w:val="center"/>
          </w:tcPr>
          <w:p>
            <w:pPr>
              <w:spacing w:line="320" w:lineRule="exact"/>
              <w:jc w:val="both"/>
              <w:rPr>
                <w:rFonts w:hint="eastAsia" w:ascii="黑体" w:hAnsi="黑体" w:eastAsia="黑体"/>
                <w:color w:val="auto"/>
                <w:spacing w:val="0"/>
                <w:w w:val="100"/>
                <w:sz w:val="21"/>
              </w:rPr>
            </w:pPr>
            <w:r>
              <w:rPr>
                <w:rFonts w:hint="eastAsia" w:ascii="黑体" w:hAnsi="黑体" w:eastAsia="黑体"/>
                <w:color w:val="auto"/>
                <w:spacing w:val="0"/>
                <w:w w:val="100"/>
                <w:sz w:val="21"/>
                <w:lang w:eastAsia="zh-CN"/>
              </w:rPr>
              <w:t>主管部门</w:t>
            </w:r>
          </w:p>
        </w:tc>
        <w:tc>
          <w:tcPr>
            <w:tcW w:w="138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黑体" w:hAnsi="黑体" w:eastAsia="黑体"/>
                <w:color w:val="auto"/>
                <w:spacing w:val="0"/>
                <w:w w:val="100"/>
                <w:sz w:val="21"/>
              </w:rPr>
            </w:pPr>
            <w:r>
              <w:rPr>
                <w:rFonts w:hint="eastAsia" w:ascii="黑体" w:hAnsi="黑体" w:eastAsia="黑体"/>
                <w:color w:val="auto"/>
                <w:spacing w:val="0"/>
                <w:w w:val="100"/>
                <w:sz w:val="21"/>
              </w:rPr>
              <w:t>职权名称</w:t>
            </w:r>
          </w:p>
        </w:tc>
        <w:tc>
          <w:tcPr>
            <w:tcW w:w="1018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黑体" w:hAnsi="黑体" w:eastAsia="黑体"/>
                <w:color w:val="auto"/>
                <w:spacing w:val="0"/>
                <w:w w:val="100"/>
                <w:sz w:val="21"/>
              </w:rPr>
            </w:pPr>
            <w:r>
              <w:rPr>
                <w:rFonts w:hint="eastAsia" w:ascii="黑体" w:hAnsi="黑体" w:eastAsia="黑体" w:cs="仿宋"/>
                <w:bCs/>
                <w:color w:val="auto"/>
                <w:spacing w:val="0"/>
                <w:w w:val="100"/>
                <w:sz w:val="21"/>
              </w:rPr>
              <w:t>设定</w:t>
            </w:r>
            <w:r>
              <w:rPr>
                <w:rFonts w:hint="eastAsia" w:ascii="黑体" w:hAnsi="黑体" w:eastAsia="黑体" w:cs="仿宋"/>
                <w:bCs/>
                <w:color w:val="auto"/>
                <w:spacing w:val="0"/>
                <w:w w:val="100"/>
                <w:sz w:val="21"/>
                <w:lang w:eastAsia="zh-CN"/>
              </w:rPr>
              <w:t>和实施</w:t>
            </w:r>
            <w:r>
              <w:rPr>
                <w:rFonts w:hint="eastAsia" w:ascii="黑体" w:hAnsi="黑体" w:eastAsia="黑体" w:cs="仿宋"/>
                <w:bCs/>
                <w:color w:val="auto"/>
                <w:spacing w:val="0"/>
                <w:w w:val="100"/>
                <w:sz w:val="21"/>
              </w:rPr>
              <w:t>依据</w:t>
            </w:r>
          </w:p>
        </w:tc>
        <w:tc>
          <w:tcPr>
            <w:tcW w:w="128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黑体" w:hAnsi="黑体" w:eastAsia="黑体"/>
                <w:color w:val="auto"/>
                <w:spacing w:val="0"/>
                <w:w w:val="100"/>
                <w:sz w:val="21"/>
              </w:rPr>
            </w:pPr>
            <w:r>
              <w:rPr>
                <w:rFonts w:hint="eastAsia" w:ascii="黑体" w:hAnsi="黑体" w:eastAsia="黑体"/>
                <w:color w:val="auto"/>
                <w:spacing w:val="0"/>
                <w:w w:val="100"/>
                <w:sz w:val="21"/>
              </w:rPr>
              <w:t>原行使层级</w:t>
            </w:r>
          </w:p>
          <w:p>
            <w:pPr>
              <w:spacing w:line="320" w:lineRule="exact"/>
              <w:jc w:val="center"/>
              <w:rPr>
                <w:rFonts w:hint="eastAsia" w:ascii="黑体" w:hAnsi="黑体" w:eastAsia="黑体"/>
                <w:color w:val="auto"/>
                <w:spacing w:val="0"/>
                <w:w w:val="100"/>
                <w:sz w:val="21"/>
              </w:rPr>
            </w:pPr>
            <w:r>
              <w:rPr>
                <w:rFonts w:hint="eastAsia" w:ascii="黑体" w:hAnsi="黑体" w:eastAsia="黑体"/>
                <w:color w:val="auto"/>
                <w:spacing w:val="0"/>
                <w:w w:val="100"/>
                <w:sz w:val="21"/>
              </w:rPr>
              <w:t>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1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color w:val="auto"/>
                <w:kern w:val="21"/>
                <w:sz w:val="21"/>
                <w:szCs w:val="21"/>
                <w:lang w:eastAsia="zh-CN"/>
              </w:rPr>
            </w:pPr>
            <w:r>
              <w:rPr>
                <w:rFonts w:hint="eastAsia" w:asciiTheme="minorEastAsia" w:hAnsiTheme="minorEastAsia" w:eastAsiaTheme="minorEastAsia" w:cstheme="minorEastAsia"/>
                <w:color w:val="auto"/>
                <w:kern w:val="21"/>
                <w:sz w:val="21"/>
                <w:szCs w:val="21"/>
                <w:lang w:eastAsia="zh-CN"/>
              </w:rPr>
              <w:t>自治区自然资源厅</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21"/>
                <w:sz w:val="21"/>
                <w:szCs w:val="21"/>
              </w:rPr>
              <w:t>对临时建设和临时用地的监督检查</w:t>
            </w:r>
          </w:p>
        </w:tc>
        <w:tc>
          <w:tcPr>
            <w:tcW w:w="10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color w:val="auto"/>
                <w:kern w:val="21"/>
                <w:sz w:val="21"/>
                <w:szCs w:val="21"/>
              </w:rPr>
            </w:pPr>
            <w:r>
              <w:rPr>
                <w:rFonts w:hint="eastAsia" w:asciiTheme="minorEastAsia" w:hAnsiTheme="minorEastAsia" w:eastAsiaTheme="minorEastAsia" w:cstheme="minorEastAsia"/>
                <w:color w:val="auto"/>
                <w:kern w:val="21"/>
                <w:sz w:val="21"/>
                <w:szCs w:val="21"/>
              </w:rPr>
              <w:t>【地方政府规章】《宁夏回族自治区城镇规划区临时建设和临时用地规划管理办法》（</w:t>
            </w:r>
            <w:r>
              <w:rPr>
                <w:rFonts w:hint="eastAsia" w:asciiTheme="minorEastAsia" w:hAnsiTheme="minorEastAsia" w:eastAsiaTheme="minorEastAsia" w:cstheme="minorEastAsia"/>
                <w:color w:val="auto"/>
                <w:kern w:val="21"/>
                <w:sz w:val="21"/>
                <w:szCs w:val="21"/>
                <w:lang w:val="en-US" w:eastAsia="zh-CN"/>
              </w:rPr>
              <w:t>2022</w:t>
            </w:r>
            <w:r>
              <w:rPr>
                <w:rFonts w:hint="eastAsia" w:asciiTheme="minorEastAsia" w:hAnsiTheme="minorEastAsia" w:eastAsiaTheme="minorEastAsia" w:cstheme="minorEastAsia"/>
                <w:color w:val="auto"/>
                <w:kern w:val="21"/>
                <w:sz w:val="21"/>
                <w:szCs w:val="21"/>
              </w:rPr>
              <w:t>年修正）</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color w:val="auto"/>
                <w:kern w:val="21"/>
                <w:sz w:val="21"/>
                <w:szCs w:val="21"/>
              </w:rPr>
            </w:pPr>
            <w:bookmarkStart w:id="0" w:name="4"/>
            <w:r>
              <w:rPr>
                <w:rFonts w:hint="eastAsia" w:asciiTheme="minorEastAsia" w:hAnsiTheme="minorEastAsia" w:eastAsiaTheme="minorEastAsia" w:cstheme="minorEastAsia"/>
                <w:color w:val="auto"/>
                <w:kern w:val="21"/>
                <w:sz w:val="21"/>
                <w:szCs w:val="21"/>
              </w:rPr>
              <w:t>第四条</w:t>
            </w:r>
            <w:bookmarkEnd w:id="0"/>
            <w:r>
              <w:rPr>
                <w:rFonts w:hint="eastAsia" w:asciiTheme="minorEastAsia" w:hAnsiTheme="minorEastAsia" w:eastAsiaTheme="minorEastAsia" w:cstheme="minorEastAsia"/>
                <w:color w:val="auto"/>
                <w:kern w:val="21"/>
                <w:sz w:val="21"/>
                <w:szCs w:val="21"/>
              </w:rPr>
              <w:t xml:space="preserve"> 市、县（市）城乡规划主管部门负责临时建设和临时用地的规划管理工作。生态环境、住房城乡建设、文化和旅游、交通运输等主管部门在各自职责范围内，协助城乡规划主管部门做好临时建设和临时用地规划管理工作。</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color w:val="auto"/>
                <w:kern w:val="21"/>
                <w:sz w:val="21"/>
                <w:szCs w:val="21"/>
              </w:rPr>
            </w:pPr>
            <w:r>
              <w:rPr>
                <w:rFonts w:hint="eastAsia" w:asciiTheme="minorEastAsia" w:hAnsiTheme="minorEastAsia" w:eastAsiaTheme="minorEastAsia" w:cstheme="minorEastAsia"/>
                <w:color w:val="auto"/>
                <w:kern w:val="21"/>
                <w:sz w:val="21"/>
                <w:szCs w:val="21"/>
              </w:rPr>
              <w:t>第十七条 城乡规划主管部门应当加强对临时建设和临时用地的监督检查，并有权采取以下措施：（一）要求有关单位或者个人提供临时建设、临时用地的有关批准文件；（二）根据需要现场勘测临时建筑物、构筑物或者临时用地；（三）责令有关单位或者个人停止违反城乡规划法律法规和本办法规定的行为。</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21"/>
                <w:sz w:val="21"/>
                <w:szCs w:val="21"/>
              </w:rPr>
              <w:t>城乡规划主管部门的工作人员履行前款规定的监督检查职责，应当出示行政执法证件。被监督检查的单位和人员应当予以配合，不得妨碍和阻挠依法进行的监督检查。</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设区的</w:t>
            </w:r>
            <w:r>
              <w:rPr>
                <w:rFonts w:hint="eastAsia" w:asciiTheme="minorEastAsia" w:hAnsiTheme="minorEastAsia" w:eastAsiaTheme="minorEastAsia" w:cstheme="minorEastAsia"/>
                <w:color w:val="auto"/>
                <w:sz w:val="21"/>
                <w:szCs w:val="21"/>
              </w:rPr>
              <w:t>市</w:t>
            </w:r>
            <w:r>
              <w:rPr>
                <w:rFonts w:hint="eastAsia" w:asciiTheme="minorEastAsia" w:hAnsiTheme="minorEastAsia" w:eastAsiaTheme="minorEastAsia" w:cstheme="minorEastAsia"/>
                <w:color w:val="auto"/>
                <w:sz w:val="21"/>
                <w:szCs w:val="21"/>
                <w:lang w:eastAsia="zh-CN"/>
              </w:rPr>
              <w:t>级</w:t>
            </w:r>
            <w:r>
              <w:rPr>
                <w:rFonts w:hint="eastAsia" w:asciiTheme="minorEastAsia" w:hAnsiTheme="minorEastAsia" w:eastAsiaTheme="minorEastAsia" w:cstheme="minorEastAsia"/>
                <w:color w:val="auto"/>
                <w:sz w:val="21"/>
                <w:szCs w:val="21"/>
              </w:rPr>
              <w:t>、县</w:t>
            </w:r>
            <w:r>
              <w:rPr>
                <w:rFonts w:hint="eastAsia" w:asciiTheme="minorEastAsia" w:hAnsiTheme="minorEastAsia" w:eastAsiaTheme="minorEastAsia" w:cstheme="minorEastAsia"/>
                <w:color w:val="auto"/>
                <w:sz w:val="21"/>
                <w:szCs w:val="21"/>
                <w:lang w:eastAsia="zh-CN"/>
              </w:rPr>
              <w:t>级</w:t>
            </w:r>
            <w:r>
              <w:rPr>
                <w:rFonts w:hint="eastAsia" w:ascii="宋体" w:hAnsi="宋体" w:eastAsia="宋体" w:cs="宋体"/>
                <w:i w:val="0"/>
                <w:color w:val="auto"/>
                <w:kern w:val="0"/>
                <w:sz w:val="21"/>
                <w:szCs w:val="21"/>
                <w:highlight w:val="none"/>
                <w:u w:val="none"/>
                <w:lang w:val="en-US" w:eastAsia="zh-CN" w:bidi="ar"/>
              </w:rPr>
              <w:t>人民政府</w:t>
            </w:r>
            <w:r>
              <w:rPr>
                <w:rFonts w:hint="eastAsia" w:asciiTheme="minorEastAsia" w:hAnsiTheme="minorEastAsia" w:eastAsiaTheme="minorEastAsia" w:cstheme="minorEastAsia"/>
                <w:color w:val="auto"/>
                <w:sz w:val="21"/>
                <w:szCs w:val="21"/>
              </w:rPr>
              <w:t>城乡规划主管部门</w:t>
            </w:r>
          </w:p>
        </w:tc>
      </w:tr>
    </w:tbl>
    <w:p>
      <w:pPr>
        <w:pStyle w:val="8"/>
        <w:spacing w:before="468" w:beforeLines="150" w:beforeAutospacing="0" w:line="480" w:lineRule="auto"/>
        <w:ind w:left="0" w:leftChars="0" w:firstLine="0" w:firstLineChars="0"/>
        <w:jc w:val="center"/>
        <w:rPr>
          <w:rFonts w:hint="eastAsia" w:ascii="黑体" w:hAnsi="黑体" w:eastAsia="黑体" w:cs="黑体"/>
          <w:color w:val="auto"/>
          <w:sz w:val="36"/>
          <w:szCs w:val="36"/>
          <w:lang w:eastAsia="zh-CN"/>
        </w:rPr>
      </w:pPr>
      <w:r>
        <w:rPr>
          <w:rFonts w:hint="eastAsia" w:ascii="黑体" w:hAnsi="黑体" w:eastAsia="黑体" w:cs="黑体"/>
          <w:color w:val="auto"/>
          <w:sz w:val="36"/>
          <w:szCs w:val="36"/>
          <w:lang w:eastAsia="zh-CN"/>
        </w:rPr>
        <w:t>三</w:t>
      </w:r>
      <w:r>
        <w:rPr>
          <w:rFonts w:hint="eastAsia" w:ascii="黑体" w:hAnsi="黑体" w:eastAsia="黑体" w:cs="黑体"/>
          <w:color w:val="auto"/>
          <w:sz w:val="36"/>
          <w:szCs w:val="36"/>
        </w:rPr>
        <w:t>、行政给付</w:t>
      </w:r>
      <w:r>
        <w:rPr>
          <w:rFonts w:hint="eastAsia" w:ascii="黑体" w:hAnsi="黑体" w:eastAsia="黑体" w:cs="黑体"/>
          <w:color w:val="auto"/>
          <w:sz w:val="36"/>
          <w:szCs w:val="36"/>
          <w:lang w:eastAsia="zh-CN"/>
        </w:rPr>
        <w:t>（</w:t>
      </w:r>
      <w:r>
        <w:rPr>
          <w:rFonts w:hint="eastAsia" w:ascii="黑体" w:hAnsi="黑体" w:eastAsia="黑体" w:cs="黑体"/>
          <w:color w:val="auto"/>
          <w:sz w:val="36"/>
          <w:szCs w:val="36"/>
          <w:lang w:val="en-US" w:eastAsia="zh-CN"/>
        </w:rPr>
        <w:t>2项</w:t>
      </w:r>
      <w:r>
        <w:rPr>
          <w:rFonts w:hint="eastAsia" w:ascii="黑体" w:hAnsi="黑体" w:eastAsia="黑体" w:cs="黑体"/>
          <w:color w:val="auto"/>
          <w:sz w:val="36"/>
          <w:szCs w:val="36"/>
          <w:lang w:eastAsia="zh-CN"/>
        </w:rPr>
        <w:t>）</w:t>
      </w:r>
    </w:p>
    <w:tbl>
      <w:tblPr>
        <w:tblStyle w:val="9"/>
        <w:tblW w:w="14498" w:type="dxa"/>
        <w:jc w:val="center"/>
        <w:tblLayout w:type="fixed"/>
        <w:tblCellMar>
          <w:top w:w="0" w:type="dxa"/>
          <w:left w:w="0" w:type="dxa"/>
          <w:bottom w:w="0" w:type="dxa"/>
          <w:right w:w="0" w:type="dxa"/>
        </w:tblCellMar>
      </w:tblPr>
      <w:tblGrid>
        <w:gridCol w:w="675"/>
        <w:gridCol w:w="903"/>
        <w:gridCol w:w="1230"/>
        <w:gridCol w:w="10514"/>
        <w:gridCol w:w="1176"/>
      </w:tblGrid>
      <w:tr>
        <w:tblPrEx>
          <w:tblCellMar>
            <w:top w:w="0" w:type="dxa"/>
            <w:left w:w="0" w:type="dxa"/>
            <w:bottom w:w="0" w:type="dxa"/>
            <w:right w:w="0" w:type="dxa"/>
          </w:tblCellMar>
        </w:tblPrEx>
        <w:trPr>
          <w:trHeight w:val="851"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ascii="黑体" w:hAnsi="黑体" w:eastAsia="黑体"/>
                <w:color w:val="auto"/>
                <w:sz w:val="21"/>
              </w:rPr>
            </w:pPr>
            <w:r>
              <w:rPr>
                <w:rFonts w:ascii="黑体" w:hAnsi="黑体" w:eastAsia="黑体"/>
                <w:color w:val="auto"/>
                <w:sz w:val="21"/>
              </w:rPr>
              <w:t>序号</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hint="eastAsia" w:ascii="黑体" w:hAnsi="黑体" w:eastAsia="黑体"/>
                <w:color w:val="auto"/>
                <w:sz w:val="21"/>
              </w:rPr>
            </w:pPr>
            <w:r>
              <w:rPr>
                <w:rFonts w:hint="eastAsia" w:ascii="黑体" w:hAnsi="黑体" w:eastAsia="黑体" w:cs="仿宋"/>
                <w:bCs/>
                <w:color w:val="auto"/>
                <w:sz w:val="21"/>
                <w:lang w:eastAsia="zh-CN"/>
              </w:rPr>
              <w:t>主管部门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ascii="黑体" w:hAnsi="黑体" w:eastAsia="黑体"/>
                <w:color w:val="auto"/>
                <w:sz w:val="21"/>
              </w:rPr>
            </w:pPr>
            <w:r>
              <w:rPr>
                <w:rFonts w:hint="eastAsia" w:ascii="黑体" w:hAnsi="黑体" w:eastAsia="黑体"/>
                <w:color w:val="auto"/>
                <w:sz w:val="21"/>
              </w:rPr>
              <w:t>职权</w:t>
            </w:r>
            <w:r>
              <w:rPr>
                <w:rFonts w:ascii="黑体" w:hAnsi="黑体" w:eastAsia="黑体"/>
                <w:color w:val="auto"/>
                <w:sz w:val="21"/>
              </w:rPr>
              <w:t>名称</w:t>
            </w:r>
          </w:p>
        </w:tc>
        <w:tc>
          <w:tcPr>
            <w:tcW w:w="10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ascii="黑体" w:hAnsi="黑体" w:eastAsia="黑体"/>
                <w:color w:val="auto"/>
                <w:sz w:val="21"/>
              </w:rPr>
            </w:pPr>
            <w:r>
              <w:rPr>
                <w:rFonts w:hint="eastAsia" w:ascii="黑体" w:hAnsi="黑体" w:eastAsia="黑体" w:cs="仿宋"/>
                <w:bCs/>
                <w:color w:val="auto"/>
                <w:sz w:val="21"/>
              </w:rPr>
              <w:t>设定</w:t>
            </w:r>
            <w:r>
              <w:rPr>
                <w:rFonts w:hint="eastAsia" w:ascii="黑体" w:hAnsi="黑体" w:eastAsia="黑体" w:cs="仿宋"/>
                <w:bCs/>
                <w:color w:val="auto"/>
                <w:sz w:val="21"/>
                <w:lang w:eastAsia="zh-CN"/>
              </w:rPr>
              <w:t>和实施</w:t>
            </w:r>
            <w:r>
              <w:rPr>
                <w:rFonts w:hint="eastAsia" w:ascii="黑体" w:hAnsi="黑体" w:eastAsia="黑体" w:cs="仿宋"/>
                <w:bCs/>
                <w:color w:val="auto"/>
                <w:sz w:val="21"/>
              </w:rPr>
              <w:t>依据</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hint="eastAsia" w:ascii="黑体" w:hAnsi="黑体" w:eastAsia="黑体"/>
                <w:color w:val="auto"/>
                <w:sz w:val="21"/>
              </w:rPr>
            </w:pPr>
            <w:r>
              <w:rPr>
                <w:rFonts w:hint="eastAsia" w:ascii="黑体" w:hAnsi="黑体" w:eastAsia="黑体"/>
                <w:color w:val="auto"/>
                <w:sz w:val="21"/>
              </w:rPr>
              <w:t>原行使层级</w:t>
            </w:r>
          </w:p>
          <w:p>
            <w:pPr>
              <w:spacing w:line="320" w:lineRule="exact"/>
              <w:jc w:val="center"/>
              <w:rPr>
                <w:rFonts w:ascii="黑体" w:hAnsi="黑体" w:eastAsia="黑体"/>
                <w:color w:val="auto"/>
                <w:sz w:val="21"/>
              </w:rPr>
            </w:pPr>
            <w:r>
              <w:rPr>
                <w:rFonts w:hint="eastAsia" w:ascii="黑体" w:hAnsi="黑体" w:eastAsia="黑体"/>
                <w:color w:val="auto"/>
                <w:sz w:val="21"/>
              </w:rPr>
              <w:t>及部门</w:t>
            </w:r>
          </w:p>
        </w:tc>
      </w:tr>
      <w:tr>
        <w:tblPrEx>
          <w:tblCellMar>
            <w:top w:w="0" w:type="dxa"/>
            <w:left w:w="0" w:type="dxa"/>
            <w:bottom w:w="0" w:type="dxa"/>
            <w:right w:w="0" w:type="dxa"/>
          </w:tblCellMar>
        </w:tblPrEx>
        <w:trPr>
          <w:trHeight w:val="616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315" w:firstLineChars="150"/>
              <w:jc w:val="both"/>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自治区</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民政厅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高龄津贴发放</w:t>
            </w:r>
          </w:p>
        </w:tc>
        <w:tc>
          <w:tcPr>
            <w:tcW w:w="10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【法律】</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中华人民共和国老年人权益保障法》</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2018年修订）</w:t>
            </w:r>
          </w:p>
          <w:p>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第三十三条</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国家鼓励地方建立八十周岁以上低收入老年人高龄津贴制度。</w:t>
            </w:r>
          </w:p>
          <w:p>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规范性</w:t>
            </w:r>
            <w:r>
              <w:rPr>
                <w:rFonts w:hint="eastAsia" w:asciiTheme="minorEastAsia" w:hAnsiTheme="minorEastAsia" w:eastAsiaTheme="minorEastAsia" w:cstheme="minorEastAsia"/>
                <w:color w:val="auto"/>
                <w:kern w:val="0"/>
                <w:sz w:val="21"/>
                <w:szCs w:val="21"/>
              </w:rPr>
              <w:t>文件】</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自治区党委办公厅</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人民政府办公厅印发《关于推进基本养老服务体系建设的实施方案》（宁党办</w:t>
            </w:r>
            <w:r>
              <w:rPr>
                <w:rFonts w:hint="eastAsia" w:asciiTheme="minorEastAsia" w:hAnsiTheme="minorEastAsia" w:eastAsiaTheme="minorEastAsia" w:cstheme="minorEastAsia"/>
                <w:color w:val="auto"/>
                <w:kern w:val="0"/>
                <w:sz w:val="21"/>
                <w:szCs w:val="21"/>
                <w:lang w:eastAsia="zh-CN"/>
              </w:rPr>
              <w:t>发</w:t>
            </w:r>
            <w:r>
              <w:rPr>
                <w:rFonts w:hint="eastAsia" w:asciiTheme="minorEastAsia" w:hAnsiTheme="minorEastAsia" w:eastAsiaTheme="minorEastAsia" w:cstheme="minorEastAsia"/>
                <w:color w:val="auto"/>
                <w:kern w:val="0"/>
                <w:sz w:val="21"/>
                <w:szCs w:val="21"/>
              </w:rPr>
              <w:t>〔2022〕93号）</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（三）完善基本养老服务保障机制。</w:t>
            </w:r>
            <w:r>
              <w:rPr>
                <w:rFonts w:hint="eastAsia" w:asciiTheme="minorEastAsia" w:hAnsiTheme="minorEastAsia" w:eastAsiaTheme="minorEastAsia" w:cstheme="minorEastAsia"/>
                <w:color w:val="auto"/>
                <w:kern w:val="0"/>
                <w:sz w:val="21"/>
                <w:szCs w:val="21"/>
                <w:lang w:val="en-US" w:eastAsia="zh-CN"/>
              </w:rPr>
              <w:t>2.完善老年人津贴补贴制度。加大老年人福利保障力度，在原有高龄低收入老年人基本生活津贴基础上，将发放范围扩大到80周岁以上全体高龄老年人。</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color w:val="auto"/>
                <w:kern w:val="0"/>
                <w:sz w:val="21"/>
                <w:szCs w:val="21"/>
              </w:rPr>
              <w:t>《自治区民政厅</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财政厅</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人力资源社会保障厅关于完善高龄津贴制度的通知》（宁民发〔2023〕9号）</w:t>
            </w:r>
          </w:p>
          <w:p>
            <w:pPr>
              <w:keepNext w:val="0"/>
              <w:keepLines w:val="0"/>
              <w:pageBreakBefore w:val="0"/>
              <w:widowControl/>
              <w:numPr>
                <w:ilvl w:val="0"/>
                <w:numId w:val="1"/>
              </w:numPr>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调整发放范围</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将发放范围由80周岁以上低收入老年人，扩大到80周岁以上全体老年人。（一）高龄低收入老年人津贴发放范围。凡持有宁夏户籍且年龄在80周岁以上无固定收入的老年人，可纳入高龄低收入老年人津贴制度范围。固定收入包括离退休费和基本养老金等，不含中央确定的城乡居民基本养老保险基础养老金、子女赡养赠予和遗属生活费、优抚对象享受的优待抚恤金等。（二）新增高龄老年人津贴发放范围。凡持有宁夏户籍且年龄在</w:t>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0周岁以上、未享受高龄低收入老年人津贴的人员（已享受企业职工养老保险高龄补贴待遇人员暂不纳入，待相关政策明确后再行纳入），均可享受高龄老年人津贴。（三）准确界定对象。符合城乡低保、特困供养条件的老年人，优先纳入城乡低保、特困供养范围，同时享受高龄老年人津贴。原农村户籍中享受高龄低收入老年人津贴且领取城镇职工基本养老保险待遇的老年人，不再享受高龄低收入老年人津贴，纳入高龄老年人津贴制度范围。</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明确发放标准。（一）高龄低收入老年人津贴发放标准。80-89周岁城市户籍每人每月发450元，80-89周岁农村户籍每人每月发放270元；90周岁以上城乡户籍每人每月发放500元。（二）新增高龄老年人津贴发放标准。80-89周岁每人每月发放100元，90周岁以上每人每月发放200元，自2023年1月1日起执行。</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县级人民政府民政部门</w:t>
            </w:r>
          </w:p>
        </w:tc>
      </w:tr>
      <w:tr>
        <w:tblPrEx>
          <w:tblCellMar>
            <w:top w:w="0" w:type="dxa"/>
            <w:left w:w="0" w:type="dxa"/>
            <w:bottom w:w="0" w:type="dxa"/>
            <w:right w:w="0"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315" w:firstLineChars="150"/>
              <w:jc w:val="both"/>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08" w:lineRule="exact"/>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自治区</w:t>
            </w:r>
          </w:p>
          <w:p>
            <w:pPr>
              <w:keepNext w:val="0"/>
              <w:keepLines w:val="0"/>
              <w:pageBreakBefore w:val="0"/>
              <w:widowControl/>
              <w:kinsoku/>
              <w:wordWrap/>
              <w:overflowPunct/>
              <w:topLinePunct w:val="0"/>
              <w:autoSpaceDE/>
              <w:autoSpaceDN/>
              <w:bidi w:val="0"/>
              <w:adjustRightInd w:val="0"/>
              <w:snapToGrid w:val="0"/>
              <w:spacing w:line="308" w:lineRule="exact"/>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民政厅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08" w:lineRule="exact"/>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临时救助资金的给付</w:t>
            </w:r>
          </w:p>
        </w:tc>
        <w:tc>
          <w:tcPr>
            <w:tcW w:w="10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08" w:lineRule="exact"/>
              <w:ind w:firstLine="420" w:firstLineChars="200"/>
              <w:textAlignment w:val="auto"/>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sz w:val="21"/>
                <w:szCs w:val="21"/>
                <w:shd w:val="clear" w:color="auto" w:fill="FFFFFF"/>
              </w:rPr>
              <w:t>【行政法规】</w:t>
            </w:r>
            <w:r>
              <w:rPr>
                <w:rFonts w:hint="eastAsia" w:asciiTheme="minorEastAsia" w:hAnsiTheme="minorEastAsia" w:eastAsiaTheme="minorEastAsia" w:cstheme="minorEastAsia"/>
                <w:i w:val="0"/>
                <w:iCs w:val="0"/>
                <w:color w:val="auto"/>
                <w:kern w:val="0"/>
                <w:sz w:val="21"/>
                <w:szCs w:val="21"/>
                <w:u w:val="none"/>
                <w:lang w:val="en-US" w:eastAsia="zh-CN" w:bidi="ar"/>
              </w:rPr>
              <w:t>《社会救助暂行办法》（2019年国务院令第709号修订）</w:t>
            </w:r>
          </w:p>
          <w:p>
            <w:pPr>
              <w:keepNext w:val="0"/>
              <w:keepLines w:val="0"/>
              <w:pageBreakBefore w:val="0"/>
              <w:widowControl/>
              <w:kinsoku/>
              <w:wordWrap/>
              <w:overflowPunct/>
              <w:topLinePunct w:val="0"/>
              <w:autoSpaceDE/>
              <w:autoSpaceDN/>
              <w:bidi w:val="0"/>
              <w:adjustRightInd w:val="0"/>
              <w:snapToGrid w:val="0"/>
              <w:spacing w:line="308" w:lineRule="exact"/>
              <w:ind w:firstLine="420" w:firstLineChars="200"/>
              <w:textAlignment w:val="auto"/>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keepNext w:val="0"/>
              <w:keepLines w:val="0"/>
              <w:pageBreakBefore w:val="0"/>
              <w:widowControl/>
              <w:kinsoku/>
              <w:wordWrap/>
              <w:overflowPunct/>
              <w:topLinePunct w:val="0"/>
              <w:autoSpaceDE/>
              <w:autoSpaceDN/>
              <w:bidi w:val="0"/>
              <w:adjustRightInd w:val="0"/>
              <w:snapToGrid w:val="0"/>
              <w:spacing w:line="308" w:lineRule="exact"/>
              <w:ind w:firstLine="420" w:firstLineChars="200"/>
              <w:textAlignment w:val="auto"/>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i w:val="0"/>
                <w:iCs w:val="0"/>
                <w:color w:val="auto"/>
                <w:kern w:val="0"/>
                <w:sz w:val="21"/>
                <w:szCs w:val="21"/>
                <w:u w:val="none"/>
                <w:lang w:val="en-US" w:eastAsia="zh-CN" w:bidi="ar"/>
              </w:rPr>
              <w:t>《宁夏回族自治区临时救助工作规程》（宁民规发〔2018〕14号）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第二章 救助对象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第六条 具有本地户籍或持有本地居住证的家庭和个人，有下列情形的可以申请临时救助：（一）家庭对象 1.急难型困难家庭。（1）因遭遇火灾、矿难、交通事故、溺水等突发意外事件，导致家庭基本生活暂时出现严重困难的；（2）因家庭成员突发重大疾病需要紧急入院治疗，导致家庭基本生活暂时出现严重困难的。2.支出型困难家庭。（1）因家庭成员患重大疾病，在扣除各类保险、报销及其它社会救助和帮扶资金后，自负医疗费用支出仍然较大的；（2）因家庭子女接受教育，在扣除教育救助、社会帮扶资金后，自负费用仍然较大的；（3）因生活必需支出突然增加后，超出家庭承受能力，导致基本生活暂时出现严重困难的低保家庭或特困供养人员；（4）因遭遇其他特殊困难的家庭。其中：子女接受教育支出是指维持子女高中教育（含职业高中）、大中专院校就学所需的学费、住宿费、课本费等基本生活费用支出，不含择校费、校外租房等非基本费用；生活必需支出是指维系基本生活所需的最低限度费用支出。（二）个人对象 因遭遇火灾、矿难、交通事故、溺水、突发重大疾病或其他意外原因造成的特殊困难，暂时无法得到家庭支持，导致个人基本生活陷入困境的对象。对符合生活无着的流浪乞讨人员救助条件的，由县（区）人民政府民政部门按照有关规定提供临时食宿、急病救治、协助返回等救助。（三）市、县（区）人民政府民政部门认定的遭遇其他特殊困难的家庭或个人。</w:t>
            </w:r>
          </w:p>
          <w:p>
            <w:pPr>
              <w:keepNext w:val="0"/>
              <w:keepLines w:val="0"/>
              <w:pageBreakBefore w:val="0"/>
              <w:widowControl/>
              <w:numPr>
                <w:ilvl w:val="0"/>
                <w:numId w:val="0"/>
              </w:numPr>
              <w:kinsoku/>
              <w:wordWrap/>
              <w:overflowPunct/>
              <w:topLinePunct w:val="0"/>
              <w:autoSpaceDE/>
              <w:autoSpaceDN/>
              <w:bidi w:val="0"/>
              <w:adjustRightInd w:val="0"/>
              <w:snapToGrid w:val="0"/>
              <w:spacing w:line="308" w:lineRule="exact"/>
              <w:ind w:firstLine="420" w:firstLineChars="200"/>
              <w:textAlignment w:val="auto"/>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第七条 对申请临时救助对象财产状况的要求、收入和财产的核定与计算，可参照申请低保家庭的财产状况、收入和财产核定的有关程序执行。</w:t>
            </w:r>
          </w:p>
          <w:p>
            <w:pPr>
              <w:keepNext w:val="0"/>
              <w:keepLines w:val="0"/>
              <w:pageBreakBefore w:val="0"/>
              <w:widowControl/>
              <w:numPr>
                <w:ilvl w:val="0"/>
                <w:numId w:val="0"/>
              </w:numPr>
              <w:kinsoku/>
              <w:wordWrap/>
              <w:overflowPunct/>
              <w:topLinePunct w:val="0"/>
              <w:autoSpaceDE/>
              <w:autoSpaceDN/>
              <w:bidi w:val="0"/>
              <w:adjustRightInd w:val="0"/>
              <w:snapToGrid w:val="0"/>
              <w:spacing w:line="308" w:lineRule="exact"/>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第十五条 县（区）人民政府民政部门可以委托乡镇人民政府（街道办事处）审批，受委托的乡镇人民政府（街道办事处）最高审批额度由县（区）人民政府民政部门指导确定，审批决定应当于每季度10日前报委托的县（区）人民政府民政部门。</w:t>
            </w:r>
          </w:p>
          <w:p>
            <w:pPr>
              <w:keepNext w:val="0"/>
              <w:keepLines w:val="0"/>
              <w:pageBreakBefore w:val="0"/>
              <w:widowControl/>
              <w:numPr>
                <w:ilvl w:val="0"/>
                <w:numId w:val="0"/>
              </w:numPr>
              <w:kinsoku/>
              <w:wordWrap/>
              <w:overflowPunct/>
              <w:topLinePunct w:val="0"/>
              <w:autoSpaceDE/>
              <w:autoSpaceDN/>
              <w:bidi w:val="0"/>
              <w:adjustRightInd w:val="0"/>
              <w:snapToGrid w:val="0"/>
              <w:spacing w:line="308" w:lineRule="exact"/>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第十六条 县级民政部门应当协商本级财政部门，在本地乡镇（街道）全面建立临时救助备用金制度，根据乡镇（街道）人口基数、上年临时救助人数、资金管理使用等情况，预拨部分临时救助资金到辖区内各乡镇（街道），作为备用金，确保特殊紧急需要。</w:t>
            </w:r>
          </w:p>
          <w:p>
            <w:pPr>
              <w:keepNext w:val="0"/>
              <w:keepLines w:val="0"/>
              <w:pageBreakBefore w:val="0"/>
              <w:widowControl/>
              <w:numPr>
                <w:ilvl w:val="0"/>
                <w:numId w:val="0"/>
              </w:numPr>
              <w:kinsoku/>
              <w:wordWrap/>
              <w:overflowPunct/>
              <w:topLinePunct w:val="0"/>
              <w:autoSpaceDE/>
              <w:autoSpaceDN/>
              <w:bidi w:val="0"/>
              <w:adjustRightInd w:val="0"/>
              <w:snapToGrid w:val="0"/>
              <w:spacing w:line="308" w:lineRule="exact"/>
              <w:ind w:firstLine="420" w:firstLineChars="200"/>
              <w:textAlignment w:val="auto"/>
              <w:outlineLvl w:val="9"/>
              <w:rPr>
                <w:rFonts w:hint="eastAsia"/>
              </w:rPr>
            </w:pPr>
            <w:r>
              <w:rPr>
                <w:rFonts w:hint="eastAsia" w:asciiTheme="minorEastAsia" w:hAnsiTheme="minorEastAsia" w:eastAsiaTheme="minorEastAsia" w:cstheme="minorEastAsia"/>
                <w:i w:val="0"/>
                <w:iCs w:val="0"/>
                <w:color w:val="auto"/>
                <w:kern w:val="0"/>
                <w:sz w:val="21"/>
                <w:szCs w:val="21"/>
                <w:u w:val="none"/>
                <w:lang w:val="en-US" w:eastAsia="zh-CN" w:bidi="ar"/>
              </w:rPr>
              <w:t>第二十条 临时救助原则上按照居民申请，乡镇人民政府（街道办事处）受理、审核（委托金额以下的乡镇人民政府（街道办事处）可直接审批），县（区）人民政府民政部门审批的程序实施。对于情况紧急，需要立即采取措施以防造成无法挽回的损失或者无法改变的严重后果的，乡镇人民政府（街道办事处）、县（区）人民政府民政部门可以先行救助，事后按规定补办审核审批手续。</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县级人民政府民政部门</w:t>
            </w:r>
          </w:p>
        </w:tc>
      </w:tr>
    </w:tbl>
    <w:p>
      <w:pPr>
        <w:pStyle w:val="3"/>
        <w:spacing w:before="468" w:beforeLines="150" w:after="312" w:afterLines="100" w:line="360" w:lineRule="exact"/>
        <w:jc w:val="center"/>
        <w:rPr>
          <w:rFonts w:hint="eastAsia" w:ascii="黑体" w:hAnsi="黑体" w:eastAsia="黑体"/>
          <w:b w:val="0"/>
          <w:bCs w:val="0"/>
          <w:color w:val="auto"/>
          <w:sz w:val="36"/>
          <w:szCs w:val="36"/>
          <w:lang w:val="en-US" w:eastAsia="zh-CN"/>
        </w:rPr>
      </w:pPr>
      <w:r>
        <w:rPr>
          <w:rFonts w:hint="eastAsia" w:ascii="黑体" w:hAnsi="黑体" w:eastAsia="黑体"/>
          <w:b w:val="0"/>
          <w:bCs w:val="0"/>
          <w:color w:val="auto"/>
          <w:sz w:val="36"/>
          <w:szCs w:val="36"/>
          <w:lang w:eastAsia="zh-CN"/>
        </w:rPr>
        <w:t>四</w:t>
      </w:r>
      <w:r>
        <w:rPr>
          <w:rFonts w:ascii="黑体" w:hAnsi="黑体" w:eastAsia="黑体"/>
          <w:b w:val="0"/>
          <w:bCs w:val="0"/>
          <w:color w:val="auto"/>
          <w:sz w:val="36"/>
          <w:szCs w:val="36"/>
        </w:rPr>
        <w:t>、</w:t>
      </w:r>
      <w:r>
        <w:rPr>
          <w:rFonts w:hint="eastAsia" w:ascii="黑体" w:hAnsi="黑体" w:eastAsia="黑体"/>
          <w:b w:val="0"/>
          <w:bCs w:val="0"/>
          <w:color w:val="auto"/>
          <w:sz w:val="36"/>
          <w:szCs w:val="36"/>
        </w:rPr>
        <w:t>公共服务</w:t>
      </w:r>
      <w:r>
        <w:rPr>
          <w:rFonts w:hint="eastAsia" w:ascii="黑体" w:hAnsi="黑体" w:eastAsia="黑体"/>
          <w:b w:val="0"/>
          <w:bCs w:val="0"/>
          <w:color w:val="auto"/>
          <w:sz w:val="36"/>
          <w:szCs w:val="36"/>
          <w:lang w:eastAsia="zh-CN"/>
        </w:rPr>
        <w:t>（</w:t>
      </w:r>
      <w:r>
        <w:rPr>
          <w:rFonts w:hint="eastAsia" w:ascii="黑体" w:hAnsi="黑体" w:eastAsia="黑体"/>
          <w:b w:val="0"/>
          <w:bCs w:val="0"/>
          <w:color w:val="auto"/>
          <w:sz w:val="36"/>
          <w:szCs w:val="36"/>
          <w:lang w:val="en-US" w:eastAsia="zh-CN"/>
        </w:rPr>
        <w:t>17项</w:t>
      </w:r>
      <w:r>
        <w:rPr>
          <w:rFonts w:hint="eastAsia" w:ascii="黑体" w:hAnsi="黑体" w:eastAsia="黑体"/>
          <w:b w:val="0"/>
          <w:bCs w:val="0"/>
          <w:color w:val="auto"/>
          <w:sz w:val="36"/>
          <w:szCs w:val="36"/>
          <w:lang w:eastAsia="zh-CN"/>
        </w:rPr>
        <w:t>）</w:t>
      </w:r>
    </w:p>
    <w:tbl>
      <w:tblPr>
        <w:tblStyle w:val="9"/>
        <w:tblW w:w="14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66"/>
        <w:gridCol w:w="1335"/>
        <w:gridCol w:w="1025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0" w:type="dxa"/>
            <w:noWrap w:val="0"/>
            <w:vAlign w:val="center"/>
          </w:tcPr>
          <w:p>
            <w:pPr>
              <w:spacing w:line="320" w:lineRule="exact"/>
              <w:jc w:val="center"/>
              <w:rPr>
                <w:rFonts w:ascii="黑体" w:hAnsi="黑体" w:eastAsia="黑体"/>
                <w:color w:val="auto"/>
                <w:spacing w:val="0"/>
                <w:w w:val="100"/>
                <w:sz w:val="21"/>
              </w:rPr>
            </w:pPr>
            <w:r>
              <w:rPr>
                <w:rFonts w:hint="eastAsia" w:ascii="黑体" w:hAnsi="黑体" w:eastAsia="黑体"/>
                <w:color w:val="auto"/>
                <w:spacing w:val="0"/>
                <w:w w:val="100"/>
                <w:sz w:val="21"/>
              </w:rPr>
              <w:t>序号</w:t>
            </w:r>
          </w:p>
        </w:tc>
        <w:tc>
          <w:tcPr>
            <w:tcW w:w="1066" w:type="dxa"/>
            <w:noWrap w:val="0"/>
            <w:vAlign w:val="center"/>
          </w:tcPr>
          <w:p>
            <w:pPr>
              <w:spacing w:line="320" w:lineRule="exact"/>
              <w:jc w:val="both"/>
              <w:rPr>
                <w:rFonts w:hint="eastAsia" w:ascii="黑体" w:hAnsi="黑体" w:eastAsia="黑体"/>
                <w:color w:val="auto"/>
                <w:spacing w:val="0"/>
                <w:w w:val="100"/>
                <w:sz w:val="21"/>
              </w:rPr>
            </w:pPr>
            <w:r>
              <w:rPr>
                <w:rFonts w:hint="eastAsia" w:ascii="黑体" w:hAnsi="黑体" w:eastAsia="黑体"/>
                <w:color w:val="auto"/>
                <w:spacing w:val="0"/>
                <w:w w:val="100"/>
                <w:sz w:val="21"/>
                <w:lang w:eastAsia="zh-CN"/>
              </w:rPr>
              <w:t>主管部门</w:t>
            </w:r>
          </w:p>
        </w:tc>
        <w:tc>
          <w:tcPr>
            <w:tcW w:w="1335" w:type="dxa"/>
            <w:noWrap w:val="0"/>
            <w:vAlign w:val="center"/>
          </w:tcPr>
          <w:p>
            <w:pPr>
              <w:spacing w:line="320" w:lineRule="exact"/>
              <w:jc w:val="center"/>
              <w:rPr>
                <w:rFonts w:ascii="黑体" w:hAnsi="黑体" w:eastAsia="黑体"/>
                <w:color w:val="auto"/>
                <w:spacing w:val="0"/>
                <w:w w:val="100"/>
                <w:sz w:val="21"/>
              </w:rPr>
            </w:pPr>
            <w:r>
              <w:rPr>
                <w:rFonts w:hint="eastAsia" w:ascii="黑体" w:hAnsi="黑体" w:eastAsia="黑体"/>
                <w:color w:val="auto"/>
                <w:spacing w:val="0"/>
                <w:w w:val="100"/>
                <w:sz w:val="21"/>
              </w:rPr>
              <w:t>职权名称</w:t>
            </w:r>
          </w:p>
        </w:tc>
        <w:tc>
          <w:tcPr>
            <w:tcW w:w="10259" w:type="dxa"/>
            <w:noWrap w:val="0"/>
            <w:vAlign w:val="center"/>
          </w:tcPr>
          <w:p>
            <w:pPr>
              <w:spacing w:line="320" w:lineRule="exact"/>
              <w:jc w:val="center"/>
              <w:rPr>
                <w:rFonts w:ascii="黑体" w:hAnsi="黑体" w:eastAsia="黑体"/>
                <w:color w:val="auto"/>
                <w:spacing w:val="0"/>
                <w:w w:val="100"/>
                <w:sz w:val="21"/>
              </w:rPr>
            </w:pPr>
            <w:r>
              <w:rPr>
                <w:rFonts w:hint="eastAsia" w:ascii="黑体" w:hAnsi="黑体" w:eastAsia="黑体" w:cs="仿宋"/>
                <w:bCs/>
                <w:color w:val="auto"/>
                <w:spacing w:val="0"/>
                <w:w w:val="100"/>
                <w:sz w:val="21"/>
              </w:rPr>
              <w:t>设定</w:t>
            </w:r>
            <w:r>
              <w:rPr>
                <w:rFonts w:hint="eastAsia" w:ascii="黑体" w:hAnsi="黑体" w:eastAsia="黑体" w:cs="仿宋"/>
                <w:bCs/>
                <w:color w:val="auto"/>
                <w:spacing w:val="0"/>
                <w:w w:val="100"/>
                <w:sz w:val="21"/>
                <w:lang w:eastAsia="zh-CN"/>
              </w:rPr>
              <w:t>和实施</w:t>
            </w:r>
            <w:r>
              <w:rPr>
                <w:rFonts w:hint="eastAsia" w:ascii="黑体" w:hAnsi="黑体" w:eastAsia="黑体" w:cs="仿宋"/>
                <w:bCs/>
                <w:color w:val="auto"/>
                <w:spacing w:val="0"/>
                <w:w w:val="100"/>
                <w:sz w:val="21"/>
              </w:rPr>
              <w:t>依据</w:t>
            </w:r>
          </w:p>
        </w:tc>
        <w:tc>
          <w:tcPr>
            <w:tcW w:w="1304" w:type="dxa"/>
            <w:noWrap w:val="0"/>
            <w:vAlign w:val="center"/>
          </w:tcPr>
          <w:p>
            <w:pPr>
              <w:spacing w:line="320" w:lineRule="exact"/>
              <w:jc w:val="center"/>
              <w:rPr>
                <w:rFonts w:hint="eastAsia" w:ascii="黑体" w:hAnsi="黑体" w:eastAsia="黑体"/>
                <w:color w:val="auto"/>
                <w:spacing w:val="0"/>
                <w:w w:val="100"/>
                <w:sz w:val="21"/>
              </w:rPr>
            </w:pPr>
            <w:r>
              <w:rPr>
                <w:rFonts w:hint="eastAsia" w:ascii="黑体" w:hAnsi="黑体" w:eastAsia="黑体"/>
                <w:color w:val="auto"/>
                <w:spacing w:val="0"/>
                <w:w w:val="100"/>
                <w:sz w:val="21"/>
              </w:rPr>
              <w:t>原行使层级</w:t>
            </w:r>
          </w:p>
          <w:p>
            <w:pPr>
              <w:spacing w:line="320" w:lineRule="exact"/>
              <w:jc w:val="center"/>
              <w:rPr>
                <w:rFonts w:ascii="黑体" w:hAnsi="黑体" w:eastAsia="黑体"/>
                <w:color w:val="auto"/>
                <w:spacing w:val="0"/>
                <w:w w:val="100"/>
                <w:sz w:val="21"/>
              </w:rPr>
            </w:pPr>
            <w:r>
              <w:rPr>
                <w:rFonts w:hint="eastAsia" w:ascii="黑体" w:hAnsi="黑体" w:eastAsia="黑体"/>
                <w:color w:val="auto"/>
                <w:spacing w:val="0"/>
                <w:w w:val="100"/>
                <w:sz w:val="21"/>
              </w:rPr>
              <w:t>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14" w:lineRule="exact"/>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城乡居民养老保险参保登记</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【法律】《中华人民共和国社会保险法》（2018年修正）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第七条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第二十条 国家建立和完善新型农村社会养老保险制度。新型农村社会养老保险实行个人缴费、集体补助和政府补贴相结合。</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第二十二条 国家建立和完善城镇居民社会养老保险制度。省、自治区、直辖市人民政府根据实际情况，可以将城镇居民社会养老保险和新型农村社会养老保险合并实施。</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【规范性文件】《国务院关于建立统一的城乡居民基本养老保险制度的意见》（国发〔2014〕8号）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三、参保范围：年满16周岁（不含在校学生），非国家机关和事业单位工作人员及不属于职工基本养老保险制度覆盖范围的城乡居民，可以在户籍地参加城乡居民养老保险。</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sz w:val="21"/>
                <w:szCs w:val="21"/>
                <w:highlight w:val="none"/>
                <w:shd w:val="clear" w:color="auto" w:fill="FFFFFF"/>
              </w:rPr>
            </w:pPr>
            <w:r>
              <w:rPr>
                <w:rFonts w:hint="eastAsia" w:asciiTheme="minorEastAsia" w:hAnsiTheme="minorEastAsia" w:eastAsiaTheme="minorEastAsia" w:cstheme="minorEastAsia"/>
                <w:bCs/>
                <w:color w:val="auto"/>
                <w:kern w:val="0"/>
                <w:sz w:val="21"/>
                <w:szCs w:val="21"/>
              </w:rPr>
              <w:t>第六条</w:t>
            </w:r>
            <w:r>
              <w:rPr>
                <w:rFonts w:hint="eastAsia" w:asciiTheme="minorEastAsia" w:hAnsiTheme="minorEastAsia" w:eastAsiaTheme="minorEastAsia" w:cstheme="minorEastAsia"/>
                <w:bCs/>
                <w:color w:val="auto"/>
                <w:kern w:val="0"/>
                <w:sz w:val="21"/>
                <w:szCs w:val="21"/>
                <w:lang w:val="en-US" w:eastAsia="zh-CN"/>
              </w:rPr>
              <w:t xml:space="preserve"> </w:t>
            </w:r>
            <w:r>
              <w:rPr>
                <w:rFonts w:hint="eastAsia" w:asciiTheme="minorEastAsia" w:hAnsiTheme="minorEastAsia" w:eastAsiaTheme="minorEastAsia" w:cstheme="minorEastAsia"/>
                <w:bCs/>
                <w:color w:val="auto"/>
                <w:kern w:val="0"/>
                <w:sz w:val="21"/>
                <w:szCs w:val="21"/>
              </w:rPr>
              <w:t>符合城乡居民养老保险参保条件的城乡居民，需携带户口簿和居民身份证原件及复印件（重度残疾人等困难群体应同时提供相关证明材料原件和复印件），到户籍所在地村（居）委会提出参保申请。</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设区的市级、</w:t>
            </w:r>
            <w:r>
              <w:rPr>
                <w:rFonts w:hint="eastAsia" w:asciiTheme="minorEastAsia" w:hAnsiTheme="minorEastAsia" w:eastAsiaTheme="minorEastAsia" w:cstheme="minorEastAsia"/>
                <w:bCs/>
                <w:color w:val="auto"/>
                <w:kern w:val="0"/>
                <w:sz w:val="21"/>
                <w:szCs w:val="21"/>
              </w:rPr>
              <w:t>县级人民政府社会保险行政部门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参加社会保险人员领取死亡待遇申报</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【法律】《中华人民共和国社会保险法》（2018年修正）</w:t>
            </w:r>
          </w:p>
          <w:p>
            <w:pPr>
              <w:keepNext w:val="0"/>
              <w:keepLines w:val="0"/>
              <w:pageBreakBefore w:val="0"/>
              <w:widowControl/>
              <w:kinsoku/>
              <w:wordWrap/>
              <w:overflowPunct/>
              <w:topLinePunct w:val="0"/>
              <w:autoSpaceDE/>
              <w:autoSpaceDN/>
              <w:bidi w:val="0"/>
              <w:adjustRightInd/>
              <w:snapToGrid/>
              <w:spacing w:line="320" w:lineRule="exact"/>
              <w:ind w:firstLine="4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第二十一条 新型农村社会养老保险待遇由基础养老金和个人账户养老金组成。参加新型农村社会养老保险的农村居民，符合国家规定条件的，按月领取新型农村社会养老保险待遇。</w:t>
            </w:r>
          </w:p>
          <w:p>
            <w:pPr>
              <w:keepNext w:val="0"/>
              <w:keepLines w:val="0"/>
              <w:pageBreakBefore w:val="0"/>
              <w:widowControl/>
              <w:kinsoku/>
              <w:wordWrap/>
              <w:overflowPunct/>
              <w:topLinePunct w:val="0"/>
              <w:autoSpaceDE/>
              <w:autoSpaceDN/>
              <w:bidi w:val="0"/>
              <w:adjustRightInd/>
              <w:snapToGrid/>
              <w:spacing w:line="320" w:lineRule="exact"/>
              <w:ind w:firstLine="4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】《国务院关于建立统一的城乡居民基本养老保险制度的意见》（国发〔2014〕8号）</w:t>
            </w:r>
          </w:p>
          <w:p>
            <w:pPr>
              <w:keepNext w:val="0"/>
              <w:keepLines w:val="0"/>
              <w:pageBreakBefore w:val="0"/>
              <w:widowControl/>
              <w:kinsoku/>
              <w:wordWrap/>
              <w:overflowPunct/>
              <w:topLinePunct w:val="0"/>
              <w:autoSpaceDE/>
              <w:autoSpaceDN/>
              <w:bidi w:val="0"/>
              <w:adjustRightInd/>
              <w:snapToGrid/>
              <w:spacing w:line="320" w:lineRule="exact"/>
              <w:ind w:firstLine="4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七、养老保险待遇领取条件</w:t>
            </w:r>
            <w:r>
              <w:rPr>
                <w:rFonts w:hint="eastAsia" w:asciiTheme="minorEastAsia" w:hAnsiTheme="minorEastAsia" w:eastAsiaTheme="minorEastAsia" w:cstheme="minorEastAsia"/>
                <w:bCs/>
                <w:color w:val="auto"/>
                <w:kern w:val="0"/>
                <w:sz w:val="21"/>
                <w:szCs w:val="21"/>
                <w:lang w:eastAsia="zh-CN"/>
              </w:rPr>
              <w:t xml:space="preserve"> </w:t>
            </w:r>
            <w:r>
              <w:rPr>
                <w:rFonts w:hint="eastAsia" w:asciiTheme="minorEastAsia" w:hAnsiTheme="minorEastAsia" w:eastAsiaTheme="minorEastAsia" w:cstheme="minorEastAsia"/>
                <w:bCs/>
                <w:color w:val="auto"/>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4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第一条 参加城乡居民养老保险的个人，年满60周岁、累计缴费满15年，且未领取国家规定的基本养老保障待遇的，可以按月领取城乡居民养老保险待遇。</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第三条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w:t>
            </w:r>
          </w:p>
          <w:p>
            <w:pPr>
              <w:keepNext w:val="0"/>
              <w:keepLines w:val="0"/>
              <w:pageBreakBefore w:val="0"/>
              <w:widowControl/>
              <w:shd w:val="clear" w:color="auto" w:fill="auto"/>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【规范性文件】《关于印发城乡居民基本养老保险经办规程的通知》（人社部发〔201</w:t>
            </w:r>
            <w:r>
              <w:rPr>
                <w:rFonts w:hint="eastAsia" w:asciiTheme="minorEastAsia" w:hAnsiTheme="minorEastAsia" w:eastAsiaTheme="minorEastAsia" w:cstheme="minorEastAsia"/>
                <w:bCs/>
                <w:color w:val="auto"/>
                <w:kern w:val="0"/>
                <w:sz w:val="21"/>
                <w:szCs w:val="21"/>
                <w:highlight w:val="none"/>
                <w:lang w:val="en-US" w:eastAsia="zh-CN"/>
              </w:rPr>
              <w:t>9</w:t>
            </w:r>
            <w:r>
              <w:rPr>
                <w:rFonts w:hint="eastAsia" w:asciiTheme="minorEastAsia" w:hAnsiTheme="minorEastAsia" w:eastAsiaTheme="minorEastAsia" w:cstheme="minorEastAsia"/>
                <w:bCs/>
                <w:color w:val="auto"/>
                <w:kern w:val="0"/>
                <w:sz w:val="21"/>
                <w:szCs w:val="21"/>
                <w:highlight w:val="none"/>
              </w:rPr>
              <w:t>〕</w:t>
            </w:r>
            <w:r>
              <w:rPr>
                <w:rFonts w:hint="eastAsia" w:asciiTheme="minorEastAsia" w:hAnsiTheme="minorEastAsia" w:eastAsiaTheme="minorEastAsia" w:cstheme="minorEastAsia"/>
                <w:bCs/>
                <w:color w:val="auto"/>
                <w:kern w:val="0"/>
                <w:sz w:val="21"/>
                <w:szCs w:val="21"/>
                <w:highlight w:val="none"/>
                <w:lang w:val="en-US" w:eastAsia="zh-CN"/>
              </w:rPr>
              <w:t>84</w:t>
            </w:r>
            <w:r>
              <w:rPr>
                <w:rFonts w:hint="eastAsia" w:asciiTheme="minorEastAsia" w:hAnsiTheme="minorEastAsia" w:eastAsiaTheme="minorEastAsia" w:cstheme="minorEastAsia"/>
                <w:bCs/>
                <w:color w:val="auto"/>
                <w:kern w:val="0"/>
                <w:sz w:val="21"/>
                <w:szCs w:val="21"/>
                <w:highlight w:val="none"/>
              </w:rPr>
              <w:t>号）</w:t>
            </w:r>
          </w:p>
          <w:p>
            <w:pPr>
              <w:keepNext w:val="0"/>
              <w:keepLines w:val="0"/>
              <w:pageBreakBefore w:val="0"/>
              <w:widowControl/>
              <w:shd w:val="clear" w:color="auto" w:fill="auto"/>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sz w:val="21"/>
                <w:szCs w:val="21"/>
                <w:highlight w:val="none"/>
                <w:shd w:val="clear" w:color="auto" w:fill="FFFFFF"/>
              </w:rPr>
            </w:pPr>
            <w:r>
              <w:rPr>
                <w:rFonts w:hint="eastAsia" w:asciiTheme="minorEastAsia" w:hAnsiTheme="minorEastAsia" w:eastAsiaTheme="minorEastAsia" w:cstheme="minorEastAsia"/>
                <w:bCs/>
                <w:color w:val="auto"/>
                <w:sz w:val="21"/>
                <w:szCs w:val="21"/>
                <w:highlight w:val="none"/>
                <w:shd w:val="clear" w:color="auto" w:fill="FFFFFF"/>
              </w:rPr>
              <w:t>第三十二条 村（居）协办员应于每月初将本村（居）上月死亡人员名单（含姓名、有效身份证件号码、死亡日期等基本信息）上报乡镇（街道）事务所，乡镇（街道）事务所汇总后上报县社保机构。</w:t>
            </w:r>
          </w:p>
          <w:p>
            <w:pPr>
              <w:keepNext w:val="0"/>
              <w:keepLines w:val="0"/>
              <w:pageBreakBefore w:val="0"/>
              <w:widowControl/>
              <w:shd w:val="clear" w:color="auto" w:fill="auto"/>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sz w:val="21"/>
                <w:szCs w:val="21"/>
                <w:highlight w:val="none"/>
                <w:shd w:val="clear" w:color="auto" w:fill="FFFFFF"/>
              </w:rPr>
            </w:pPr>
            <w:r>
              <w:rPr>
                <w:rFonts w:hint="eastAsia" w:asciiTheme="minorEastAsia" w:hAnsiTheme="minorEastAsia" w:eastAsiaTheme="minorEastAsia" w:cstheme="minorEastAsia"/>
                <w:bCs/>
                <w:color w:val="auto"/>
                <w:sz w:val="21"/>
                <w:szCs w:val="21"/>
                <w:highlight w:val="none"/>
                <w:shd w:val="clear" w:color="auto" w:fill="FFFFFF"/>
              </w:rPr>
              <w:t>第三十三条 对通过第三十一条和第三十二条发现的疑似丧失城乡居民养老保险待遇领取资格人员，社保机构应当暂停待遇发放，并调查核实。对调查核实后确定仍然具备待遇领取资格的人员，社保机构应当立即恢复发放，并补发停发期间的城乡居民养老保险待遇。</w:t>
            </w:r>
          </w:p>
          <w:p>
            <w:pPr>
              <w:keepNext w:val="0"/>
              <w:keepLines w:val="0"/>
              <w:pageBreakBefore w:val="0"/>
              <w:widowControl/>
              <w:shd w:val="clear" w:color="auto" w:fill="auto"/>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highlight w:val="none"/>
                <w:shd w:val="clear" w:color="auto" w:fill="FFFFFF"/>
              </w:rPr>
              <w:t>第三十四条 待遇领取人员出现本规程第三十七条有关情况的，社保机构应从其出现情况的次月起停止发放城乡居民养老保险待遇。</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县级人民政府社会保险行政部门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参加养老保险人员定期领取待遇资格申报（仅限城乡居民）</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399" w:leftChars="19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【法律】《中华人民共和国社会保险法》（2018年修正）</w:t>
            </w:r>
          </w:p>
          <w:p>
            <w:pPr>
              <w:keepNext w:val="0"/>
              <w:keepLines w:val="0"/>
              <w:pageBreakBefore w:val="0"/>
              <w:widowControl/>
              <w:kinsoku/>
              <w:wordWrap/>
              <w:overflowPunct/>
              <w:topLinePunct w:val="0"/>
              <w:autoSpaceDE/>
              <w:autoSpaceDN/>
              <w:bidi w:val="0"/>
              <w:adjustRightInd/>
              <w:snapToGrid/>
              <w:spacing w:line="340" w:lineRule="exact"/>
              <w:ind w:firstLine="411" w:firstLineChars="196"/>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第七条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第二十一条 新型农村社会养老保险待遇由基础养老金和个人账户养老金组成。参加新型农村社会养老保险的农村居民，符合国家规定条件的，按月领取新型农村社会养老保险待遇。</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【部门规章】《实施〈中华人民共和国社会保险法〉若干规定》（</w:t>
            </w:r>
            <w:r>
              <w:rPr>
                <w:rFonts w:hint="eastAsia" w:asciiTheme="minorEastAsia" w:hAnsiTheme="minorEastAsia" w:eastAsiaTheme="minorEastAsia" w:cstheme="minorEastAsia"/>
                <w:bCs/>
                <w:color w:val="auto"/>
                <w:kern w:val="0"/>
                <w:sz w:val="21"/>
                <w:szCs w:val="21"/>
                <w:lang w:val="en-US" w:eastAsia="zh-CN"/>
              </w:rPr>
              <w:t>2011年</w:t>
            </w:r>
            <w:r>
              <w:rPr>
                <w:rFonts w:hint="eastAsia" w:asciiTheme="minorEastAsia" w:hAnsiTheme="minorEastAsia" w:eastAsiaTheme="minorEastAsia" w:cstheme="minorEastAsia"/>
                <w:bCs/>
                <w:color w:val="auto"/>
                <w:kern w:val="0"/>
                <w:sz w:val="21"/>
                <w:szCs w:val="21"/>
              </w:rPr>
              <w:t>中华人民共和国人力资源和社会保障部令第13号）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】《国务院关于建立统一的城乡居民基本养老保险制度的意见》（国发〔2014〕8号）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sz w:val="21"/>
                <w:szCs w:val="21"/>
                <w:shd w:val="clear" w:color="auto" w:fill="FFFFFF"/>
              </w:rPr>
            </w:pPr>
            <w:r>
              <w:rPr>
                <w:rFonts w:hint="eastAsia" w:asciiTheme="minorEastAsia" w:hAnsiTheme="minorEastAsia" w:eastAsiaTheme="minorEastAsia" w:cstheme="minorEastAsia"/>
                <w:bCs/>
                <w:color w:val="auto"/>
                <w:kern w:val="0"/>
                <w:sz w:val="21"/>
                <w:szCs w:val="21"/>
              </w:rPr>
              <w:t>七、养老保险待遇领取条件：第一条参加城乡居民养老保险的个人，年满60周岁、累计缴费满15年，且未领取国家规定的基本养老保障待遇的，可以按月领取城乡居民养老保险待遇。</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【规范性文件】《关于印发城乡居民基本养老保险经办规程的通知》（人社部发〔20</w:t>
            </w:r>
            <w:r>
              <w:rPr>
                <w:rFonts w:hint="eastAsia" w:asciiTheme="minorEastAsia" w:hAnsiTheme="minorEastAsia" w:eastAsiaTheme="minorEastAsia" w:cstheme="minorEastAsia"/>
                <w:bCs/>
                <w:color w:val="auto"/>
                <w:kern w:val="0"/>
                <w:sz w:val="21"/>
                <w:szCs w:val="21"/>
                <w:lang w:val="en-US" w:eastAsia="zh-CN"/>
              </w:rPr>
              <w:t>19</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val="en-US" w:eastAsia="zh-CN"/>
              </w:rPr>
              <w:t>84</w:t>
            </w:r>
            <w:r>
              <w:rPr>
                <w:rFonts w:hint="eastAsia" w:asciiTheme="minorEastAsia" w:hAnsiTheme="minorEastAsia" w:eastAsiaTheme="minorEastAsia" w:cstheme="minorEastAsia"/>
                <w:bCs/>
                <w:color w:val="auto"/>
                <w:kern w:val="0"/>
                <w:sz w:val="21"/>
                <w:szCs w:val="21"/>
              </w:rPr>
              <w:t>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rPr>
              <w:t>第二十三条 县社保机构应允许达到待遇领取年龄的参保人员通过互联网服务渠道上传有效身份证件，提出待遇领取申请，或参保人员本人携带有效身份证件，通过线下服务渠道现场办理。</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第二十六条 社保机构应从参保人员符合待遇领取条件的次月开始发放城乡居民养老保险待遇。</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县级人民政府社会保险行政部门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以个人身份参加社会保险登记（灵活就业）</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【法律】《中华人民共和国社会保险法》（2018年修正）</w:t>
            </w:r>
          </w:p>
          <w:p>
            <w:pPr>
              <w:keepNext w:val="0"/>
              <w:keepLines w:val="0"/>
              <w:pageBreakBefore w:val="0"/>
              <w:widowControl/>
              <w:numPr>
                <w:ilvl w:val="0"/>
                <w:numId w:val="2"/>
              </w:numPr>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县级以上地方人民政府社会保险行政部门负责本行政区域的社会保险管理工作，县级以上地方人民政府其他有关部门在各自的职责范围内负责有关的社会保险工作</w:t>
            </w:r>
            <w:r>
              <w:rPr>
                <w:rFonts w:hint="eastAsia" w:asciiTheme="minorEastAsia" w:hAnsiTheme="minorEastAsia" w:eastAsiaTheme="minorEastAsia" w:cstheme="minorEastAsia"/>
                <w:bCs/>
                <w:color w:val="auto"/>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第十二条</w:t>
            </w:r>
            <w:r>
              <w:rPr>
                <w:rFonts w:hint="eastAsia" w:asciiTheme="minorEastAsia" w:hAnsiTheme="minorEastAsia" w:eastAsiaTheme="minorEastAsia" w:cstheme="minorEastAsia"/>
                <w:bCs/>
                <w:color w:val="auto"/>
                <w:kern w:val="0"/>
                <w:sz w:val="21"/>
                <w:szCs w:val="21"/>
                <w:lang w:val="en-US" w:eastAsia="zh-CN"/>
              </w:rPr>
              <w:t xml:space="preserve"> </w:t>
            </w:r>
            <w:r>
              <w:rPr>
                <w:rFonts w:hint="eastAsia" w:asciiTheme="minorEastAsia" w:hAnsiTheme="minorEastAsia" w:eastAsiaTheme="minorEastAsia" w:cstheme="minorEastAsia"/>
                <w:bCs/>
                <w:color w:val="auto"/>
                <w:kern w:val="0"/>
                <w:sz w:val="21"/>
                <w:szCs w:val="21"/>
              </w:rPr>
              <w:t>无雇工的个体工商户、未在用人单位参加基本养老保险的非全日制从业人员以及其他灵活就业人员参加基本养老保险的，应当按照国家规定缴纳基本养老保险费，分别记入基本养老保险统筹基金和个人账户。</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县级以上地方人民政府社会保险行政部门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城镇职工基本养老保险与城乡居民基本养老保险制度衔接申请（仅限城乡居民以及灵活就业人员）</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14" w:lineRule="exact"/>
              <w:ind w:left="399" w:leftChars="190"/>
              <w:textAlignment w:val="center"/>
              <w:outlineLvl w:val="9"/>
              <w:rPr>
                <w:rFonts w:hint="eastAsia" w:asciiTheme="minorEastAsia" w:hAnsiTheme="minorEastAsia" w:eastAsiaTheme="minorEastAsia" w:cstheme="minorEastAsia"/>
                <w:bCs/>
                <w:color w:val="auto"/>
                <w:sz w:val="21"/>
                <w:szCs w:val="21"/>
                <w:shd w:val="clear" w:color="auto" w:fill="FFFFFF"/>
              </w:rPr>
            </w:pPr>
            <w:r>
              <w:rPr>
                <w:rFonts w:hint="eastAsia" w:asciiTheme="minorEastAsia" w:hAnsiTheme="minorEastAsia" w:eastAsiaTheme="minorEastAsia" w:cstheme="minorEastAsia"/>
                <w:bCs/>
                <w:color w:val="auto"/>
                <w:sz w:val="21"/>
                <w:szCs w:val="21"/>
                <w:shd w:val="clear" w:color="auto" w:fill="FFFFFF"/>
              </w:rPr>
              <w:t>【法律】《中华人民共和国社会保险法》（2018年修正）</w:t>
            </w:r>
          </w:p>
          <w:p>
            <w:pPr>
              <w:keepNext w:val="0"/>
              <w:keepLines w:val="0"/>
              <w:pageBreakBefore w:val="0"/>
              <w:widowControl/>
              <w:kinsoku/>
              <w:wordWrap/>
              <w:overflowPunct/>
              <w:topLinePunct w:val="0"/>
              <w:autoSpaceDE/>
              <w:autoSpaceDN/>
              <w:bidi w:val="0"/>
              <w:adjustRightInd/>
              <w:snapToGrid/>
              <w:spacing w:line="314" w:lineRule="exact"/>
              <w:ind w:firstLine="411" w:firstLineChars="196"/>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第七条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sz w:val="21"/>
                <w:szCs w:val="21"/>
                <w:shd w:val="clear" w:color="auto" w:fill="FFFFFF"/>
              </w:rPr>
            </w:pPr>
            <w:r>
              <w:rPr>
                <w:rFonts w:hint="eastAsia" w:asciiTheme="minorEastAsia" w:hAnsiTheme="minorEastAsia" w:eastAsiaTheme="minorEastAsia" w:cstheme="minorEastAsia"/>
                <w:bCs/>
                <w:color w:val="auto"/>
                <w:sz w:val="21"/>
                <w:szCs w:val="21"/>
                <w:shd w:val="clear" w:color="auto" w:fill="FFFFFF"/>
              </w:rPr>
              <w:t>第十六条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部门规章</w:t>
            </w:r>
            <w:r>
              <w:rPr>
                <w:rFonts w:hint="eastAsia" w:asciiTheme="minorEastAsia" w:hAnsiTheme="minorEastAsia" w:eastAsiaTheme="minorEastAsia" w:cstheme="minorEastAsia"/>
                <w:bCs/>
                <w:color w:val="auto"/>
                <w:kern w:val="0"/>
                <w:sz w:val="21"/>
                <w:szCs w:val="21"/>
              </w:rPr>
              <w:t>】《实施〈中华人民共和国社会保险法〉若干规定》（</w:t>
            </w:r>
            <w:r>
              <w:rPr>
                <w:rFonts w:hint="eastAsia" w:asciiTheme="minorEastAsia" w:hAnsiTheme="minorEastAsia" w:eastAsiaTheme="minorEastAsia" w:cstheme="minorEastAsia"/>
                <w:bCs/>
                <w:color w:val="auto"/>
                <w:kern w:val="0"/>
                <w:sz w:val="21"/>
                <w:szCs w:val="21"/>
                <w:lang w:val="en-US" w:eastAsia="zh-CN"/>
              </w:rPr>
              <w:t>2011年</w:t>
            </w:r>
            <w:r>
              <w:rPr>
                <w:rFonts w:hint="eastAsia" w:asciiTheme="minorEastAsia" w:hAnsiTheme="minorEastAsia" w:eastAsiaTheme="minorEastAsia" w:cstheme="minorEastAsia"/>
                <w:bCs/>
                <w:color w:val="auto"/>
                <w:kern w:val="0"/>
                <w:sz w:val="21"/>
                <w:szCs w:val="21"/>
              </w:rPr>
              <w:t>中华人民共和国人力资源和社会保障令第13号）</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sz w:val="21"/>
                <w:szCs w:val="21"/>
                <w:shd w:val="clear" w:color="auto" w:fill="FFFFFF"/>
              </w:rPr>
              <w:t>【</w:t>
            </w:r>
            <w:r>
              <w:rPr>
                <w:rFonts w:hint="eastAsia" w:asciiTheme="minorEastAsia" w:hAnsiTheme="minorEastAsia" w:eastAsiaTheme="minorEastAsia" w:cstheme="minorEastAsia"/>
                <w:bCs/>
                <w:color w:val="auto"/>
                <w:sz w:val="21"/>
                <w:szCs w:val="21"/>
                <w:shd w:val="clear" w:color="auto" w:fill="FFFFFF"/>
                <w:lang w:eastAsia="zh-CN"/>
              </w:rPr>
              <w:t>规范性文件</w:t>
            </w:r>
            <w:r>
              <w:rPr>
                <w:rFonts w:hint="eastAsia" w:asciiTheme="minorEastAsia" w:hAnsiTheme="minorEastAsia" w:eastAsiaTheme="minorEastAsia" w:cstheme="minorEastAsia"/>
                <w:bCs/>
                <w:color w:val="auto"/>
                <w:sz w:val="21"/>
                <w:szCs w:val="21"/>
                <w:shd w:val="clear" w:color="auto" w:fill="FFFFFF"/>
              </w:rPr>
              <w:t>】《城镇企业职工基本养老保险关系转移接续暂行办法》（国办发〔2009〕</w:t>
            </w:r>
            <w:r>
              <w:rPr>
                <w:rFonts w:hint="eastAsia" w:asciiTheme="minorEastAsia" w:hAnsiTheme="minorEastAsia" w:eastAsiaTheme="minorEastAsia" w:cstheme="minorEastAsia"/>
                <w:bCs/>
                <w:color w:val="auto"/>
                <w:kern w:val="0"/>
                <w:sz w:val="21"/>
                <w:szCs w:val="21"/>
              </w:rPr>
              <w:t>66号）</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第九条 农民工中断就业或返乡没有继续缴费的，由原参保地社保经办机构保留其基本养老保险关系，保存其全部参保缴费记录及个人账户，个人账户储存额继续按规定计息。农民工返回城镇就业并继续参保缴费的，无论其回到原参保地就业还是到其他城镇就业，均按前述规定累计计算其缴费年限，合并计算其个人账户储存额，符合待遇领取条件的，与城镇职工同样享受基本养老保险待遇；农民工不再返回城镇就业的，其在城镇参保缴费记录及个人账户全部有效，并根据农民工的实际情况，或在其达到规定领取条件时享受城镇职工基本养老保险待遇，或转入新型农村社会养老保险。</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【规范性文件】《关于印发〈城乡养老保险制度衔接暂行办法〉的通知》（人社部发〔2014〕17号）</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第三条 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【规范性文件】《关于贯彻实施〈城乡养老保险制度衔接暂行办法〉有关问题的通知》（人社厅发〔2014〕25号）</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《城乡养老保险制度衔接经办规程</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试行</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》第四条 参保人员达到城镇职工养老保险法定退休年龄，如有分别参加城镇职工养老保险、城乡居民养老保险情形，在申请领取养老保险待遇前，向待遇领取地社保机构申请办理城乡养老保险制度衔接手续……</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县级以上地方人民政府社会保险行政部门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20" w:lineRule="exact"/>
              <w:ind w:firstLine="0" w:firstLineChars="0"/>
              <w:jc w:val="center"/>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暂停养老保险待遇申请</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11" w:firstLineChars="196"/>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】《国务院关于颁发</w:t>
            </w:r>
            <w:r>
              <w:rPr>
                <w:rFonts w:hint="eastAsia" w:asciiTheme="minorEastAsia" w:hAnsiTheme="minorEastAsia" w:eastAsiaTheme="minorEastAsia" w:cstheme="minorEastAsia"/>
                <w:bCs/>
                <w:color w:val="auto"/>
                <w:kern w:val="0"/>
                <w:sz w:val="21"/>
                <w:szCs w:val="21"/>
                <w:lang w:val="en-US" w:eastAsia="zh-CN"/>
              </w:rPr>
              <w:t>&lt;</w:t>
            </w:r>
            <w:r>
              <w:rPr>
                <w:rFonts w:hint="eastAsia" w:asciiTheme="minorEastAsia" w:hAnsiTheme="minorEastAsia" w:eastAsiaTheme="minorEastAsia" w:cstheme="minorEastAsia"/>
                <w:bCs/>
                <w:color w:val="auto"/>
                <w:kern w:val="0"/>
                <w:sz w:val="21"/>
                <w:szCs w:val="21"/>
              </w:rPr>
              <w:t>国务院关于安置老弱病残干部的暂行办法</w:t>
            </w:r>
            <w:r>
              <w:rPr>
                <w:rFonts w:hint="eastAsia" w:asciiTheme="minorEastAsia" w:hAnsiTheme="minorEastAsia" w:eastAsiaTheme="minorEastAsia" w:cstheme="minorEastAsia"/>
                <w:bCs/>
                <w:color w:val="auto"/>
                <w:kern w:val="0"/>
                <w:sz w:val="21"/>
                <w:szCs w:val="21"/>
                <w:lang w:val="en-US" w:eastAsia="zh-CN"/>
              </w:rPr>
              <w:t>&gt;</w:t>
            </w:r>
            <w:r>
              <w:rPr>
                <w:rFonts w:hint="eastAsia" w:asciiTheme="minorEastAsia" w:hAnsiTheme="minorEastAsia" w:eastAsiaTheme="minorEastAsia" w:cstheme="minorEastAsia"/>
                <w:bCs/>
                <w:color w:val="auto"/>
                <w:kern w:val="0"/>
                <w:sz w:val="21"/>
                <w:szCs w:val="21"/>
              </w:rPr>
              <w:t>和</w:t>
            </w:r>
            <w:r>
              <w:rPr>
                <w:rFonts w:hint="eastAsia" w:asciiTheme="minorEastAsia" w:hAnsiTheme="minorEastAsia" w:eastAsiaTheme="minorEastAsia" w:cstheme="minorEastAsia"/>
                <w:bCs/>
                <w:color w:val="auto"/>
                <w:kern w:val="0"/>
                <w:sz w:val="21"/>
                <w:szCs w:val="21"/>
                <w:lang w:val="en-US" w:eastAsia="zh-CN"/>
              </w:rPr>
              <w:t>&lt;</w:t>
            </w:r>
            <w:r>
              <w:rPr>
                <w:rFonts w:hint="eastAsia" w:asciiTheme="minorEastAsia" w:hAnsiTheme="minorEastAsia" w:eastAsiaTheme="minorEastAsia" w:cstheme="minorEastAsia"/>
                <w:bCs/>
                <w:color w:val="auto"/>
                <w:kern w:val="0"/>
                <w:sz w:val="21"/>
                <w:szCs w:val="21"/>
              </w:rPr>
              <w:t>国务院关于工人退休、退职的暂行办法</w:t>
            </w:r>
            <w:r>
              <w:rPr>
                <w:rFonts w:hint="eastAsia" w:asciiTheme="minorEastAsia" w:hAnsiTheme="minorEastAsia" w:eastAsiaTheme="minorEastAsia" w:cstheme="minorEastAsia"/>
                <w:bCs/>
                <w:color w:val="auto"/>
                <w:kern w:val="0"/>
                <w:sz w:val="21"/>
                <w:szCs w:val="21"/>
                <w:lang w:val="en-US" w:eastAsia="zh-CN"/>
              </w:rPr>
              <w:t>&gt;</w:t>
            </w:r>
            <w:r>
              <w:rPr>
                <w:rFonts w:hint="eastAsia" w:asciiTheme="minorEastAsia" w:hAnsiTheme="minorEastAsia" w:eastAsiaTheme="minorEastAsia" w:cstheme="minorEastAsia"/>
                <w:bCs/>
                <w:color w:val="auto"/>
                <w:kern w:val="0"/>
                <w:sz w:val="21"/>
                <w:szCs w:val="21"/>
              </w:rPr>
              <w:t>的通知》（国发〔1978〕104号）</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第二条 工人退休以后，每月按下列标准发给退休费，直至去世为止。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第五条 干部退休以后，每月按下列标准发给退休费，直至去世为止。</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】《关于因失踪被人民法院宣告死亡的离退休人员养老待遇问题的函》</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人社厅函〔2010〕159号</w:t>
            </w:r>
            <w:r>
              <w:rPr>
                <w:rFonts w:hint="eastAsia" w:asciiTheme="minorEastAsia" w:hAnsiTheme="minorEastAsia" w:eastAsiaTheme="minorEastAsia" w:cstheme="minorEastAsia"/>
                <w:bCs/>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离退休人员因失踪等原因被暂停发放基本养老金的，之后被人民法院宣告死亡，期间被暂停发放的基本养老金不再予以补发；离退休人员被人民法院宣告死亡后，其家属应按规定领取丧葬补助费和一次性抚恤金。当离退休人员再次出现或家属能够提供其仍具有领取养老金资格证明的，经社会保险经办机构核准后，应补发其被暂停发放的基本养老金，在被暂停发放基本养老金期间国家统一部署调整基本养老金的，也应予以补调。</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sz w:val="21"/>
                <w:szCs w:val="21"/>
                <w:shd w:val="clear" w:color="auto" w:fill="FFFFFF"/>
              </w:rPr>
            </w:pPr>
            <w:r>
              <w:rPr>
                <w:rFonts w:hint="eastAsia" w:asciiTheme="minorEastAsia" w:hAnsiTheme="minorEastAsia" w:eastAsiaTheme="minorEastAsia" w:cstheme="minorEastAsia"/>
                <w:bCs/>
                <w:color w:val="auto"/>
                <w:kern w:val="0"/>
                <w:sz w:val="21"/>
                <w:szCs w:val="21"/>
              </w:rPr>
              <w:t xml:space="preserve">第三十一条 </w:t>
            </w:r>
            <w:r>
              <w:rPr>
                <w:rFonts w:hint="eastAsia" w:asciiTheme="minorEastAsia" w:hAnsiTheme="minorEastAsia" w:eastAsiaTheme="minorEastAsia" w:cstheme="minorEastAsia"/>
                <w:bCs/>
                <w:color w:val="auto"/>
                <w:sz w:val="21"/>
                <w:szCs w:val="21"/>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sz w:val="21"/>
                <w:szCs w:val="21"/>
                <w:shd w:val="clear" w:color="auto" w:fill="FFFFFF"/>
              </w:rPr>
            </w:pPr>
            <w:r>
              <w:rPr>
                <w:rFonts w:hint="eastAsia" w:asciiTheme="minorEastAsia" w:hAnsiTheme="minorEastAsia" w:eastAsiaTheme="minorEastAsia" w:cstheme="minorEastAsia"/>
                <w:bCs/>
                <w:color w:val="auto"/>
                <w:kern w:val="0"/>
                <w:sz w:val="21"/>
                <w:szCs w:val="21"/>
              </w:rPr>
              <w:t xml:space="preserve">第三十二条 </w:t>
            </w:r>
            <w:r>
              <w:rPr>
                <w:rFonts w:hint="eastAsia" w:asciiTheme="minorEastAsia" w:hAnsiTheme="minorEastAsia" w:eastAsiaTheme="minorEastAsia" w:cstheme="minorEastAsia"/>
                <w:bCs/>
                <w:color w:val="auto"/>
                <w:sz w:val="21"/>
                <w:szCs w:val="21"/>
                <w:shd w:val="clear" w:color="auto" w:fill="FFFFFF"/>
              </w:rPr>
              <w:t>待遇领取人员自死亡次月起停止发放养老保险待遇。村</w:t>
            </w:r>
            <w:r>
              <w:rPr>
                <w:rFonts w:hint="eastAsia" w:asciiTheme="minorEastAsia" w:hAnsiTheme="minorEastAsia" w:eastAsiaTheme="minorEastAsia" w:cstheme="minorEastAsia"/>
                <w:bCs/>
                <w:color w:val="auto"/>
                <w:sz w:val="21"/>
                <w:szCs w:val="21"/>
                <w:shd w:val="clear" w:color="auto" w:fill="FFFFFF"/>
                <w:lang w:eastAsia="zh-CN"/>
              </w:rPr>
              <w:t>（</w:t>
            </w:r>
            <w:r>
              <w:rPr>
                <w:rFonts w:hint="eastAsia" w:asciiTheme="minorEastAsia" w:hAnsiTheme="minorEastAsia" w:eastAsiaTheme="minorEastAsia" w:cstheme="minorEastAsia"/>
                <w:bCs/>
                <w:color w:val="auto"/>
                <w:sz w:val="21"/>
                <w:szCs w:val="21"/>
                <w:shd w:val="clear" w:color="auto" w:fill="FFFFFF"/>
              </w:rPr>
              <w:t>居</w:t>
            </w:r>
            <w:r>
              <w:rPr>
                <w:rFonts w:hint="eastAsia" w:asciiTheme="minorEastAsia" w:hAnsiTheme="minorEastAsia" w:eastAsiaTheme="minorEastAsia" w:cstheme="minorEastAsia"/>
                <w:bCs/>
                <w:color w:val="auto"/>
                <w:sz w:val="21"/>
                <w:szCs w:val="21"/>
                <w:shd w:val="clear" w:color="auto" w:fill="FFFFFF"/>
                <w:lang w:eastAsia="zh-CN"/>
              </w:rPr>
              <w:t>）</w:t>
            </w:r>
            <w:r>
              <w:rPr>
                <w:rFonts w:hint="eastAsia" w:asciiTheme="minorEastAsia" w:hAnsiTheme="minorEastAsia" w:eastAsiaTheme="minorEastAsia" w:cstheme="minorEastAsia"/>
                <w:bCs/>
                <w:color w:val="auto"/>
                <w:sz w:val="21"/>
                <w:szCs w:val="21"/>
                <w:shd w:val="clear" w:color="auto" w:fill="FFFFFF"/>
              </w:rPr>
              <w:t>协办员应于每月初将上月死亡人员名单通过乡镇</w:t>
            </w:r>
            <w:r>
              <w:rPr>
                <w:rFonts w:hint="eastAsia" w:asciiTheme="minorEastAsia" w:hAnsiTheme="minorEastAsia" w:eastAsiaTheme="minorEastAsia" w:cstheme="minorEastAsia"/>
                <w:bCs/>
                <w:color w:val="auto"/>
                <w:sz w:val="21"/>
                <w:szCs w:val="21"/>
                <w:shd w:val="clear" w:color="auto" w:fill="FFFFFF"/>
                <w:lang w:eastAsia="zh-CN"/>
              </w:rPr>
              <w:t>（</w:t>
            </w:r>
            <w:r>
              <w:rPr>
                <w:rFonts w:hint="eastAsia" w:asciiTheme="minorEastAsia" w:hAnsiTheme="minorEastAsia" w:eastAsiaTheme="minorEastAsia" w:cstheme="minorEastAsia"/>
                <w:bCs/>
                <w:color w:val="auto"/>
                <w:sz w:val="21"/>
                <w:szCs w:val="21"/>
                <w:shd w:val="clear" w:color="auto" w:fill="FFFFFF"/>
              </w:rPr>
              <w:t>街道</w:t>
            </w:r>
            <w:r>
              <w:rPr>
                <w:rFonts w:hint="eastAsia" w:asciiTheme="minorEastAsia" w:hAnsiTheme="minorEastAsia" w:eastAsiaTheme="minorEastAsia" w:cstheme="minorEastAsia"/>
                <w:bCs/>
                <w:color w:val="auto"/>
                <w:sz w:val="21"/>
                <w:szCs w:val="21"/>
                <w:shd w:val="clear" w:color="auto" w:fill="FFFFFF"/>
                <w:lang w:eastAsia="zh-CN"/>
              </w:rPr>
              <w:t>）</w:t>
            </w:r>
            <w:r>
              <w:rPr>
                <w:rFonts w:hint="eastAsia" w:asciiTheme="minorEastAsia" w:hAnsiTheme="minorEastAsia" w:eastAsiaTheme="minorEastAsia" w:cstheme="minorEastAsia"/>
                <w:bCs/>
                <w:color w:val="auto"/>
                <w:sz w:val="21"/>
                <w:szCs w:val="21"/>
                <w:shd w:val="clear" w:color="auto" w:fill="FFFFFF"/>
              </w:rPr>
              <w:t>事务所上报至县社保机构。县社保机构对死亡人员进行暂停发放处理，待死亡人员指定受益人或法定继承人办理注销登记手续后，对死亡人员进行养老保险关系注销。</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】《关于印发〈机关事业单位工作人员基本养老保险经办规程〉的通知》（人社部发〔2015〕32号）</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第四十九条 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三）退休人员失踪、被判刑、死亡等不符合领取资格的，社保经办机构应暂停或终止发放基本养老金，对多发的养老金应予以追回。</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县级以上地方人民政府社会保险行政部门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3"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居民养老保险注销登记</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11" w:firstLineChars="196"/>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】《国务院关于建立统一的城乡居民基本养老保险制度的意见》（国发〔2014〕8号）</w:t>
            </w:r>
          </w:p>
          <w:p>
            <w:pPr>
              <w:keepNext w:val="0"/>
              <w:keepLines w:val="0"/>
              <w:pageBreakBefore w:val="0"/>
              <w:widowControl/>
              <w:kinsoku/>
              <w:wordWrap/>
              <w:overflowPunct/>
              <w:topLinePunct w:val="0"/>
              <w:autoSpaceDE/>
              <w:autoSpaceDN/>
              <w:bidi w:val="0"/>
              <w:adjustRightInd/>
              <w:snapToGrid/>
              <w:spacing w:line="320" w:lineRule="exact"/>
              <w:ind w:firstLine="413" w:firstLineChars="197"/>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七、养老保险待遇领取条件：城乡居民养老保险待遇领取人员死亡的，从次月起停止支付其养老金。</w:t>
            </w:r>
          </w:p>
          <w:p>
            <w:pPr>
              <w:keepNext w:val="0"/>
              <w:keepLines w:val="0"/>
              <w:pageBreakBefore w:val="0"/>
              <w:widowControl/>
              <w:kinsoku/>
              <w:wordWrap/>
              <w:overflowPunct/>
              <w:topLinePunct w:val="0"/>
              <w:autoSpaceDE/>
              <w:autoSpaceDN/>
              <w:bidi w:val="0"/>
              <w:adjustRightInd/>
              <w:snapToGrid/>
              <w:spacing w:line="320" w:lineRule="exact"/>
              <w:ind w:firstLine="411" w:firstLineChars="196"/>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320" w:lineRule="exact"/>
              <w:ind w:firstLine="411" w:firstLineChars="196"/>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第三十二条 待遇领取人员自死亡次月起停止发放养老保险待遇。村（居）协办员应于每月初将上月死亡人员名单通过乡镇（街道）事务所上报至县社保机构。县社保机构对死亡人员进行暂停发放处理，待死亡人员指定受益人或法定继承人办理注销登记手续后，对死亡人员进行养老保险关系注销。</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县级人民政府社会保险行政部门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0"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恢复养老保险待遇申请</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【法律】《中华人民共和国社会保险法》（2018年修正）</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第七条 县级以上地方人民政府社会保险行政部门负责本行政区域的社会保险管理工作，县级以上地方人民政</w:t>
            </w:r>
            <w:r>
              <w:rPr>
                <w:rFonts w:hint="eastAsia" w:asciiTheme="minorEastAsia" w:hAnsiTheme="minorEastAsia" w:eastAsiaTheme="minorEastAsia" w:cstheme="minorEastAsia"/>
                <w:bCs/>
                <w:color w:val="auto"/>
                <w:kern w:val="0"/>
                <w:sz w:val="21"/>
                <w:szCs w:val="21"/>
                <w:lang w:eastAsia="zh-CN"/>
              </w:rPr>
              <w:t>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【规范性文件】《关于退休职工下落不明期间待遇问题的批复》（劳办险字〔1990〕1号）</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退休职工失踪、下落不明在6个月以内的，其退休待遇可继续发给；超过6个月的，从其户主、亲属或利害关系户人申报失踪，户口登记机关暂时注销其户口的下月起，暂时停发其退休待遇，但对其供养直属亲属因此发生生活困难的，由发给退休待遇的单位酌情给予生活困难补助。下落不明满4年和因意外事故下落不明，从事故发生之日起满2年，依法被宣布告死亡的，改按死亡有关待遇处理。上述人员重新出现或者确知其下落，经本人或利害关系人申请，可按有关规定补发和恢复其应享受的待遇，但应扣还下落不明期间（包括被宣告失踪、被宣告死亡期间）停发退休待遇后发给其供养直系亲属的生活困难补助费和死亡待遇。</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【规范性文件】《关于因失踪被人民法院宣告死亡的离退休人员养老待遇问题的函》（人社厅函〔2010〕159号）。</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离退休人员因失踪等原因被暂停发放基本养老金的，之后被人民法院宣告死亡，期间被暂停发放的基本养老金不再予以补发；离退休人员被人民法院宣告死亡后，其家属应按规定领取丧葬补助费和一次性抚恤金。当离退休人员再次出现或家属能够提供其仍具有领取养老金资格证明的，经社会保险经办机构核准后，应补发其被暂停发放的基本养老金，在被暂停发放基本养老金期间国家统一部署调整基本养老金的，也应予以补调。</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eastAsia="zh-CN"/>
              </w:rPr>
              <w:t>【规范性文件】《关于印发城乡居民基本养老保险经办规程的通知》（人社部发〔2014〕23号）</w:t>
            </w:r>
            <w:r>
              <w:rPr>
                <w:rFonts w:hint="eastAsia" w:asciiTheme="minorEastAsia" w:hAnsiTheme="minorEastAsia" w:eastAsiaTheme="minorEastAsia" w:cstheme="minorEastAsia"/>
                <w:bCs/>
                <w:color w:val="auto"/>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第三十一条 待遇领取人员在领取养老金期间服刑的，县社保机构停止为其发放养老保险待遇。待服刑期满后，由本人提出待遇领取申请，社保机构于其服刑期满后的次月为其继续发放养老保险待遇，停发期间的待遇不予补发。</w:t>
            </w:r>
          </w:p>
          <w:p>
            <w:pPr>
              <w:keepNext w:val="0"/>
              <w:keepLines w:val="0"/>
              <w:pageBreakBefore w:val="0"/>
              <w:widowControl/>
              <w:kinsoku/>
              <w:wordWrap/>
              <w:overflowPunct/>
              <w:topLinePunct w:val="0"/>
              <w:autoSpaceDE/>
              <w:autoSpaceDN/>
              <w:bidi w:val="0"/>
              <w:adjustRightInd/>
              <w:snapToGrid/>
              <w:spacing w:line="320" w:lineRule="exact"/>
              <w:ind w:firstLine="417" w:firstLineChars="199"/>
              <w:jc w:val="both"/>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【规范性文件】《关于印发〈机关事业单位工作人员基本养老保险经办规程〉的通知》（人社部发〔2015〕32号）</w:t>
            </w:r>
          </w:p>
          <w:p>
            <w:pPr>
              <w:keepNext w:val="0"/>
              <w:keepLines w:val="0"/>
              <w:pageBreakBefore w:val="0"/>
              <w:widowControl/>
              <w:kinsoku/>
              <w:wordWrap/>
              <w:overflowPunct/>
              <w:topLinePunct w:val="0"/>
              <w:autoSpaceDE/>
              <w:autoSpaceDN/>
              <w:bidi w:val="0"/>
              <w:adjustRightInd/>
              <w:snapToGrid/>
              <w:spacing w:line="300" w:lineRule="exact"/>
              <w:ind w:firstLine="417" w:firstLineChars="199"/>
              <w:textAlignment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lang w:eastAsia="zh-CN"/>
              </w:rPr>
              <w:t>第四十九条 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县级以上地方人民政府社会保险行政部门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1"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失业登记</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【法律】《中华人民共和国就业促进法》（2015年修正）</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第三十五条 县级以上人民政府建立健全公共就业服务体系，设立公共就业服务机构，为劳动者免费提供下列服务：（五）办理就业登记、失业登记等事务。</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【部门规章】《就业服务与就业管理规定》（</w:t>
            </w:r>
            <w:r>
              <w:rPr>
                <w:rFonts w:hint="eastAsia" w:asciiTheme="minorEastAsia" w:hAnsiTheme="minorEastAsia" w:eastAsiaTheme="minorEastAsia" w:cstheme="minorEastAsia"/>
                <w:bCs/>
                <w:color w:val="auto"/>
                <w:kern w:val="0"/>
                <w:sz w:val="21"/>
                <w:szCs w:val="21"/>
                <w:lang w:val="en-US" w:eastAsia="zh-CN"/>
              </w:rPr>
              <w:t>2022年第四次修订</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第二十五条 公共就业服务机构应当免费为劳动者提供以下服务：（五）办理就业登记、失业登记等事务。</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【规范性文件】《关于进一步加强公共就业服务体系建设的指导意见》（人社部发〔2009〕116号）</w:t>
            </w:r>
          </w:p>
          <w:p>
            <w:pPr>
              <w:keepNext w:val="0"/>
              <w:keepLines w:val="0"/>
              <w:pageBreakBefore w:val="0"/>
              <w:widowControl/>
              <w:kinsoku/>
              <w:wordWrap/>
              <w:overflowPunct/>
              <w:topLinePunct w:val="0"/>
              <w:autoSpaceDE/>
              <w:autoSpaceDN/>
              <w:bidi w:val="0"/>
              <w:adjustRightInd/>
              <w:snapToGrid/>
              <w:spacing w:line="308" w:lineRule="exact"/>
              <w:ind w:left="0" w:leftChars="0"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【规范性文件】《关于印发就业失业登记证管理暂行办法的通知》（人社部发〔2010〕75号）</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四、做好信息系统完善和信息上报工作（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308" w:lineRule="exact"/>
              <w:ind w:left="210" w:leftChars="100" w:firstLine="210" w:firstLineChars="1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【规范性文件】《关于进一步完善公共就业服务体系有关问题的通知》（人社部发〔2012〕103号）</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四、提升公共就业服务水平（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【规范性文件】《关于进一步完善就业失业登记管理办法的通知》（人社部发〔2014〕97号）</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一、认真落实放宽失业登记条件的有关要求</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各地要落实《</w:t>
            </w:r>
            <w:r>
              <w:rPr>
                <w:rFonts w:hint="eastAsia" w:asciiTheme="minorEastAsia" w:hAnsiTheme="minorEastAsia" w:eastAsiaTheme="minorEastAsia" w:cstheme="minorEastAsia"/>
                <w:bCs/>
                <w:color w:val="auto"/>
                <w:sz w:val="21"/>
                <w:szCs w:val="21"/>
              </w:rPr>
              <w:fldChar w:fldCharType="begin"/>
            </w:r>
            <w:r>
              <w:rPr>
                <w:rFonts w:hint="eastAsia" w:asciiTheme="minorEastAsia" w:hAnsiTheme="minorEastAsia" w:eastAsiaTheme="minorEastAsia" w:cstheme="minorEastAsia"/>
                <w:bCs/>
                <w:color w:val="auto"/>
                <w:sz w:val="21"/>
                <w:szCs w:val="21"/>
              </w:rPr>
              <w:instrText xml:space="preserve"> HYPERLINK "http://conac.pkulaw.cn/javascript:SLC(240634,0)" </w:instrText>
            </w:r>
            <w:r>
              <w:rPr>
                <w:rFonts w:hint="eastAsia" w:asciiTheme="minorEastAsia" w:hAnsiTheme="minorEastAsia" w:eastAsiaTheme="minorEastAsia" w:cstheme="minorEastAsia"/>
                <w:bCs/>
                <w:color w:val="auto"/>
                <w:sz w:val="21"/>
                <w:szCs w:val="21"/>
              </w:rPr>
              <w:fldChar w:fldCharType="separate"/>
            </w:r>
            <w:r>
              <w:rPr>
                <w:rFonts w:hint="eastAsia" w:asciiTheme="minorEastAsia" w:hAnsiTheme="minorEastAsia" w:eastAsiaTheme="minorEastAsia" w:cstheme="minorEastAsia"/>
                <w:bCs/>
                <w:color w:val="auto"/>
                <w:kern w:val="0"/>
                <w:sz w:val="21"/>
                <w:szCs w:val="21"/>
              </w:rPr>
              <w:t>人力资源社会保障部关于修改〈就业服务与就业管理规定〉的决定</w:t>
            </w:r>
            <w:r>
              <w:rPr>
                <w:rFonts w:hint="eastAsia" w:asciiTheme="minorEastAsia" w:hAnsiTheme="minorEastAsia" w:eastAsiaTheme="minorEastAsia" w:cstheme="minorEastAsia"/>
                <w:bCs/>
                <w:color w:val="auto"/>
                <w:kern w:val="0"/>
                <w:sz w:val="21"/>
                <w:szCs w:val="21"/>
              </w:rPr>
              <w:fldChar w:fldCharType="end"/>
            </w:r>
            <w:r>
              <w:rPr>
                <w:rFonts w:hint="eastAsia" w:asciiTheme="minorEastAsia" w:hAnsiTheme="minorEastAsia" w:eastAsiaTheme="minorEastAsia" w:cstheme="minorEastAsia"/>
                <w:bCs/>
                <w:color w:val="auto"/>
                <w:kern w:val="0"/>
                <w:sz w:val="21"/>
                <w:szCs w:val="21"/>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县级以上人民政府公共就业服务机构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5"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14" w:lineRule="exact"/>
              <w:jc w:val="both"/>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就业困难人员认定</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【法律】《中华人民共和国就业促进法》（2015</w:t>
            </w:r>
            <w:r>
              <w:rPr>
                <w:rFonts w:hint="eastAsia" w:asciiTheme="minorEastAsia" w:hAnsiTheme="minorEastAsia" w:eastAsiaTheme="minorEastAsia" w:cstheme="minorEastAsia"/>
                <w:bCs/>
                <w:color w:val="auto"/>
                <w:kern w:val="0"/>
                <w:sz w:val="21"/>
                <w:szCs w:val="21"/>
                <w:lang w:eastAsia="zh-CN"/>
              </w:rPr>
              <w:t>年</w:t>
            </w:r>
            <w:r>
              <w:rPr>
                <w:rFonts w:hint="eastAsia" w:asciiTheme="minorEastAsia" w:hAnsiTheme="minorEastAsia" w:eastAsiaTheme="minorEastAsia" w:cstheme="minorEastAsia"/>
                <w:bCs/>
                <w:color w:val="auto"/>
                <w:kern w:val="0"/>
                <w:sz w:val="21"/>
                <w:szCs w:val="21"/>
              </w:rPr>
              <w:t>修正）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第五十二条 各级人民政府建立健全就业援助制度，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部门规章</w:t>
            </w:r>
            <w:r>
              <w:rPr>
                <w:rFonts w:hint="eastAsia" w:asciiTheme="minorEastAsia" w:hAnsiTheme="minorEastAsia" w:eastAsiaTheme="minorEastAsia" w:cstheme="minorEastAsia"/>
                <w:bCs/>
                <w:color w:val="auto"/>
                <w:kern w:val="0"/>
                <w:sz w:val="21"/>
                <w:szCs w:val="21"/>
              </w:rPr>
              <w:t>】《就业服务与就业管理规定》</w:t>
            </w:r>
            <w:r>
              <w:rPr>
                <w:rStyle w:val="11"/>
                <w:rFonts w:hint="eastAsia" w:asciiTheme="minorEastAsia" w:hAnsiTheme="minorEastAsia" w:eastAsiaTheme="minorEastAsia" w:cstheme="minorEastAsia"/>
                <w:b w:val="0"/>
                <w:bCs/>
                <w:color w:val="auto"/>
                <w:sz w:val="21"/>
                <w:szCs w:val="21"/>
                <w:lang w:eastAsia="zh-CN"/>
              </w:rPr>
              <w:t>（</w:t>
            </w:r>
            <w:r>
              <w:rPr>
                <w:rStyle w:val="11"/>
                <w:rFonts w:hint="eastAsia" w:asciiTheme="minorEastAsia" w:hAnsiTheme="minorEastAsia" w:eastAsiaTheme="minorEastAsia" w:cstheme="minorEastAsia"/>
                <w:b w:val="0"/>
                <w:bCs/>
                <w:color w:val="auto"/>
                <w:sz w:val="21"/>
                <w:szCs w:val="21"/>
              </w:rPr>
              <w:t>2022年</w:t>
            </w:r>
            <w:r>
              <w:rPr>
                <w:rStyle w:val="11"/>
                <w:rFonts w:hint="eastAsia" w:asciiTheme="minorEastAsia" w:hAnsiTheme="minorEastAsia" w:eastAsiaTheme="minorEastAsia" w:cstheme="minorEastAsia"/>
                <w:b w:val="0"/>
                <w:bCs/>
                <w:color w:val="auto"/>
                <w:sz w:val="21"/>
                <w:szCs w:val="21"/>
                <w:lang w:eastAsia="zh-CN"/>
              </w:rPr>
              <w:t>第四次</w:t>
            </w:r>
            <w:r>
              <w:rPr>
                <w:rStyle w:val="11"/>
                <w:rFonts w:hint="eastAsia" w:asciiTheme="minorEastAsia" w:hAnsiTheme="minorEastAsia" w:eastAsiaTheme="minorEastAsia" w:cstheme="minorEastAsia"/>
                <w:b w:val="0"/>
                <w:bCs/>
                <w:color w:val="auto"/>
                <w:sz w:val="21"/>
                <w:szCs w:val="21"/>
              </w:rPr>
              <w:t>修订</w:t>
            </w:r>
            <w:r>
              <w:rPr>
                <w:rStyle w:val="11"/>
                <w:rFonts w:hint="eastAsia" w:asciiTheme="minorEastAsia" w:hAnsiTheme="minorEastAsia" w:eastAsiaTheme="minorEastAsia" w:cstheme="minorEastAsia"/>
                <w:b w:val="0"/>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sz w:val="21"/>
                <w:szCs w:val="21"/>
              </w:rPr>
              <w:fldChar w:fldCharType="begin"/>
            </w:r>
            <w:r>
              <w:rPr>
                <w:rFonts w:hint="eastAsia" w:asciiTheme="minorEastAsia" w:hAnsiTheme="minorEastAsia" w:eastAsiaTheme="minorEastAsia" w:cstheme="minorEastAsia"/>
                <w:bCs/>
                <w:color w:val="auto"/>
                <w:sz w:val="21"/>
                <w:szCs w:val="21"/>
              </w:rPr>
              <w:instrText xml:space="preserve"> HYPERLINK "http://en.pkulaw.cn/display.aspx?cgid=6dae455d5ec714d8bdfb&amp;lib=law" \t "http://conac.pkulaw.cn/_blank" </w:instrText>
            </w:r>
            <w:r>
              <w:rPr>
                <w:rFonts w:hint="eastAsia" w:asciiTheme="minorEastAsia" w:hAnsiTheme="minorEastAsia" w:eastAsiaTheme="minorEastAsia" w:cstheme="minorEastAsia"/>
                <w:bCs/>
                <w:color w:val="auto"/>
                <w:sz w:val="21"/>
                <w:szCs w:val="21"/>
              </w:rPr>
              <w:fldChar w:fldCharType="separate"/>
            </w:r>
            <w:r>
              <w:rPr>
                <w:rFonts w:hint="eastAsia" w:asciiTheme="minorEastAsia" w:hAnsiTheme="minorEastAsia" w:eastAsiaTheme="minorEastAsia" w:cstheme="minorEastAsia"/>
                <w:bCs/>
                <w:color w:val="auto"/>
                <w:sz w:val="21"/>
                <w:szCs w:val="21"/>
              </w:rPr>
              <w:fldChar w:fldCharType="end"/>
            </w:r>
            <w:r>
              <w:rPr>
                <w:rFonts w:hint="eastAsia" w:asciiTheme="minorEastAsia" w:hAnsiTheme="minorEastAsia" w:eastAsiaTheme="minorEastAsia" w:cstheme="minorEastAsia"/>
                <w:bCs/>
                <w:color w:val="auto"/>
                <w:kern w:val="0"/>
                <w:sz w:val="21"/>
                <w:szCs w:val="21"/>
              </w:rPr>
              <w:t>第四十条 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【规范性文件】《关于加强就业援助工作的指导意见》（人社部发〔2010〕29号）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县级以上人民政府公共就业服务机构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单位招用人员就业登记</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【法律】《中华人民共和国就业促进法》（2015年修正）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第三十五条 县级以上人民政府建立健全公共就业服务体系，设立公共就业服务机构，为劳动者免费提供下列服务：（五）办理就业登记、失业登记等事务。</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【部门规章】《就业服务与就业管理规定》（2018</w:t>
            </w:r>
            <w:r>
              <w:rPr>
                <w:rFonts w:hint="eastAsia" w:asciiTheme="minorEastAsia" w:hAnsiTheme="minorEastAsia" w:eastAsiaTheme="minorEastAsia" w:cstheme="minorEastAsia"/>
                <w:bCs/>
                <w:color w:val="auto"/>
                <w:kern w:val="0"/>
                <w:sz w:val="21"/>
                <w:szCs w:val="21"/>
                <w:lang w:eastAsia="zh-CN"/>
              </w:rPr>
              <w:t>年</w:t>
            </w:r>
            <w:r>
              <w:rPr>
                <w:rFonts w:hint="eastAsia" w:asciiTheme="minorEastAsia" w:hAnsiTheme="minorEastAsia" w:eastAsiaTheme="minorEastAsia" w:cstheme="minorEastAsia"/>
                <w:bCs/>
                <w:color w:val="auto"/>
                <w:kern w:val="0"/>
                <w:sz w:val="21"/>
                <w:szCs w:val="21"/>
              </w:rPr>
              <w:t>修订）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第二十五条 公共就业服务机构应当免费为劳动者提供以下服务：（五）办理就业登记、失业登记等事务。</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【规范性文件】《关于进一步加强公共就业服务体系建设的指导意见》（人社部发〔2009〕116号）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320" w:lineRule="exact"/>
              <w:ind w:left="409" w:leftChars="195"/>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【规范性文件】《关于印发就业失业登记证管理暂行办法的通知》（人社部发〔2010〕75号）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【规范性文件】《关于进一步完善公共就业服务体系有关问题的通知》（人社部发〔2012〕103号）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sz w:val="21"/>
                <w:szCs w:val="21"/>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县级以上人民政府公共就业服务机构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3"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sz w:val="21"/>
                <w:szCs w:val="21"/>
              </w:rPr>
              <w:t>《就业创业证》申领</w:t>
            </w:r>
          </w:p>
        </w:tc>
        <w:tc>
          <w:tcPr>
            <w:tcW w:w="102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kern w:val="0"/>
                <w:sz w:val="21"/>
                <w:szCs w:val="21"/>
              </w:rPr>
              <w:t>【行政法规】</w:t>
            </w:r>
            <w:r>
              <w:rPr>
                <w:rFonts w:hint="eastAsia" w:asciiTheme="minorEastAsia" w:hAnsiTheme="minorEastAsia" w:eastAsiaTheme="minorEastAsia" w:cstheme="minorEastAsia"/>
                <w:bCs/>
                <w:color w:val="auto"/>
                <w:sz w:val="21"/>
                <w:szCs w:val="21"/>
              </w:rPr>
              <w:t>《就业服务与就业管理规定》</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2022年第四次修订</w:t>
            </w:r>
            <w:r>
              <w:rPr>
                <w:rFonts w:hint="eastAsia" w:asciiTheme="minorEastAsia" w:hAnsiTheme="minorEastAsia" w:eastAsiaTheme="minorEastAsia" w:cstheme="minorEastAsia"/>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第六十一条</w:t>
            </w:r>
            <w:r>
              <w:rPr>
                <w:rFonts w:hint="eastAsia" w:asciiTheme="minorEastAsia" w:hAnsiTheme="minorEastAsia" w:eastAsiaTheme="minorEastAsia" w:cstheme="minorEastAsia"/>
                <w:bCs/>
                <w:color w:val="auto"/>
                <w:sz w:val="21"/>
                <w:szCs w:val="21"/>
                <w:lang w:eastAsia="zh-CN"/>
              </w:rPr>
              <w:t xml:space="preserve"> </w:t>
            </w:r>
            <w:r>
              <w:rPr>
                <w:rFonts w:hint="eastAsia" w:asciiTheme="minorEastAsia" w:hAnsiTheme="minorEastAsia" w:eastAsiaTheme="minorEastAsia" w:cstheme="minorEastAsia"/>
                <w:bCs/>
                <w:color w:val="auto"/>
                <w:sz w:val="21"/>
                <w:szCs w:val="21"/>
              </w:rPr>
              <w:t xml:space="preserve"> ……就业登记和失业登记在各省、自治区、直辖市范围内实行统一的就业失业登记证，向劳动者免费发放，并注明可享受的相应扶持政策。就业登记、失业登记的具体程序和登记证的样式，由省级劳动保障行政部门规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bCs/>
                <w:color w:val="auto"/>
                <w:sz w:val="21"/>
                <w:szCs w:val="21"/>
              </w:rPr>
              <w:t>《关于印发就业失业登记证管理暂行办法的通知》（人社部发〔2010〕75号）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第一条</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为加强就业与失业管理，实行全国统一样式《就业失业登记证》，支持劳动者按规定跨地区享受就业扶持政策……</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第二条</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《就业失业登记证》是记载劳动者就业和失业状况、享受相关就业扶持政策、接受公共就业人才服务等情况的基本载体，是劳动者按规定享受相关就业扶持政策和接受公共就业人才服务的有效凭证……</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第三条</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各级人力资源社会保障部门负责《就业失业登记证》管理工作，建立专门台账，利用公共就业人才服务管理信息系统，及时、准确记录《就业失业登记证》发放管理信息，并做好相关统计工作。</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bCs/>
                <w:color w:val="auto"/>
                <w:sz w:val="21"/>
                <w:szCs w:val="21"/>
              </w:rPr>
              <w:t>《关于进一步完善就业失业登记管理办法的通知》（人社部发〔2014〕97号）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sz w:val="21"/>
                <w:szCs w:val="21"/>
              </w:rPr>
              <w:t>二、做好就业失业登记证明更名发放工作，根据促进就业创业工作需要，将《就业失业登记证》更名为《就业创业证》……</w:t>
            </w:r>
            <w:bookmarkStart w:id="1" w:name="_GoBack"/>
            <w:bookmarkEnd w:id="1"/>
          </w:p>
        </w:tc>
        <w:tc>
          <w:tcPr>
            <w:tcW w:w="1304"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设区的市级、县级人力资源社会保障部门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自治区</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医保局</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医疗保险其他跨省临时外出就医人员备案</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06" w:lineRule="exact"/>
              <w:ind w:firstLine="420" w:firstLineChars="200"/>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【法律】</w:t>
            </w: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《中华人民共和国社会保险法》</w:t>
            </w:r>
            <w:r>
              <w:rPr>
                <w:rFonts w:hint="eastAsia" w:asciiTheme="minorEastAsia" w:hAnsiTheme="minorEastAsia" w:eastAsiaTheme="minorEastAsia" w:cstheme="minorEastAsia"/>
                <w:bCs/>
                <w:color w:val="auto"/>
                <w:kern w:val="0"/>
                <w:sz w:val="21"/>
                <w:szCs w:val="21"/>
              </w:rPr>
              <w:t>（2018年修正）</w:t>
            </w:r>
          </w:p>
          <w:p>
            <w:pPr>
              <w:keepNext w:val="0"/>
              <w:keepLines w:val="0"/>
              <w:pageBreakBefore w:val="0"/>
              <w:widowControl/>
              <w:kinsoku/>
              <w:wordWrap/>
              <w:overflowPunct/>
              <w:topLinePunct w:val="0"/>
              <w:autoSpaceDE/>
              <w:autoSpaceDN/>
              <w:bidi w:val="0"/>
              <w:adjustRightInd/>
              <w:snapToGrid/>
              <w:spacing w:line="306" w:lineRule="exact"/>
              <w:ind w:firstLine="420" w:firstLineChars="200"/>
              <w:jc w:val="left"/>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第二十九条　参保人员医疗费用中应当由基本医疗保险基金支付的部分，由社会保险经办机构与医疗机构、药品经营单位直接结算。社会保险行政部门和卫生行政部门应当建立异地就医医疗费用结算制度，方便参保人员享受基本医疗保险待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bCs/>
                <w:color w:val="auto"/>
                <w:spacing w:val="6"/>
                <w:kern w:val="0"/>
                <w:sz w:val="21"/>
                <w:szCs w:val="21"/>
              </w:rPr>
              <w:t>】</w:t>
            </w:r>
            <w:r>
              <w:rPr>
                <w:rFonts w:hint="eastAsia" w:asciiTheme="minorEastAsia" w:hAnsiTheme="minorEastAsia" w:eastAsiaTheme="minorEastAsia" w:cstheme="minorEastAsia"/>
                <w:i w:val="0"/>
                <w:iCs w:val="0"/>
                <w:color w:val="auto"/>
                <w:spacing w:val="6"/>
                <w:kern w:val="0"/>
                <w:sz w:val="21"/>
                <w:szCs w:val="21"/>
                <w:u w:val="none"/>
                <w:lang w:val="en-US" w:eastAsia="zh-CN" w:bidi="ar"/>
              </w:rPr>
              <w:t>《国</w:t>
            </w:r>
            <w:r>
              <w:rPr>
                <w:rFonts w:hint="eastAsia" w:asciiTheme="minorEastAsia" w:hAnsiTheme="minorEastAsia" w:eastAsiaTheme="minorEastAsia" w:cstheme="minorEastAsia"/>
                <w:i w:val="0"/>
                <w:iCs w:val="0"/>
                <w:color w:val="auto"/>
                <w:kern w:val="0"/>
                <w:sz w:val="21"/>
                <w:szCs w:val="21"/>
                <w:u w:val="none"/>
                <w:lang w:val="en-US" w:eastAsia="zh-CN" w:bidi="ar"/>
              </w:rPr>
              <w:t>家医保局 财政部关于进一步做好基本医疗保险跨省异地就医直接结算工作的通知》（医保发〔2022〕22号）</w:t>
            </w:r>
          </w:p>
          <w:p>
            <w:pPr>
              <w:keepNext w:val="0"/>
              <w:keepLines w:val="0"/>
              <w:pageBreakBefore w:val="0"/>
              <w:widowControl/>
              <w:numPr>
                <w:ilvl w:val="0"/>
                <w:numId w:val="3"/>
              </w:numPr>
              <w:kinsoku/>
              <w:wordWrap/>
              <w:overflowPunct/>
              <w:topLinePunct w:val="0"/>
              <w:autoSpaceDE/>
              <w:autoSpaceDN/>
              <w:bidi w:val="0"/>
              <w:adjustRightInd/>
              <w:snapToGrid/>
              <w:spacing w:line="306" w:lineRule="exact"/>
              <w:ind w:firstLine="420" w:firstLineChars="200"/>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统一住院、普通门诊和门诊慢特病费用跨省直接结算基金支付政策。跨省异地就医直接结算的住院、普通门诊和门诊慢特病医疗费用，原则上执行就医地规定的支付范围及有关规定（基本医疗保险药品、医疗服务项目和医用耗材等支付范围），执行参保地规定的基本医疗保险基金起付标准、支付比例、最高支付限额、门诊慢特病病种范围等有关政策。（二）明确异地就医备案人员范围。跨省异地长期居住或跨省临时外出就医的参保人员办理异地就医备案后可以享受跨省异地就医直接结算服务。其中跨省异地长期居住人员包括异地安置退休人员、异地长期居住人员、常驻异地工作人员等长期在参保省、自治区、直辖市（以下统称省）以外工作、居住、生活的人员；跨省临时外出就医人员包括异地转诊就医人员，因工作、旅游等原因异地急诊抢救人员以及其他跨省临时外出就医人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i w:val="0"/>
                <w:iCs w:val="0"/>
                <w:color w:val="auto"/>
                <w:kern w:val="0"/>
                <w:sz w:val="21"/>
                <w:szCs w:val="21"/>
                <w:u w:val="none"/>
                <w:lang w:val="en-US" w:eastAsia="zh-CN" w:bidi="ar"/>
              </w:rPr>
              <w:t>《自治区医保局财政厅关于进一步做好基本医疗保险跨省异地就医直接结算工作的通知》（宁医保规发〔2022〕3号）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第七条 范围对象。参加基本医疗保险的下列人员,可以申请办理跨省异地就医直接结算。（一）跨省异地长期居住人员, 包括异地安置退休人员、异地长期居住人员、常驻异地工作人员等长期在参保省外工作、居住、生活的人员。（二）跨省临时外出就医人员, 包括异地转诊就医人员, 因工作、旅游等原因异地急诊抢救人员以及其他跨省临时外出就医人员。</w:t>
            </w:r>
          </w:p>
          <w:p>
            <w:pPr>
              <w:keepNext w:val="0"/>
              <w:keepLines w:val="0"/>
              <w:pageBreakBefore w:val="0"/>
              <w:widowControl/>
              <w:numPr>
                <w:ilvl w:val="0"/>
                <w:numId w:val="0"/>
              </w:numPr>
              <w:kinsoku/>
              <w:wordWrap/>
              <w:overflowPunct/>
              <w:topLinePunct w:val="0"/>
              <w:autoSpaceDE/>
              <w:autoSpaceDN/>
              <w:bidi w:val="0"/>
              <w:adjustRightInd/>
              <w:snapToGrid/>
              <w:spacing w:line="306" w:lineRule="exact"/>
              <w:ind w:left="0" w:leftChars="0"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第八条 登记备案参保地经办机构按规定为参保人员办理登记备案手续。（一）异地安置退休人员需提供以下材料:1.医保电子凭证、有效身份证件或社会保障卡；2.《（省（区、市）跨省异地就医登记备案表》3.异地安置认定材料（“户口簿首页”和本人“常住人口登记卡”,或个人承诺书,见附件 2）。（二）异地长期居住人员需提供以下材料：1.医保电子凭证、有效身份证件或社会保障卡；2.备案表；3.长期居住认定材料（居住证明或个人承诺书）。（三）常驻异地工作人员需提供以下材料：1.医保电子凭证、有效身份证件或社会保障卡；2.备案表；3.异地工作证明材料（参保地工作单位派出证明、异地工作单位证明、工作合同任选其一或个人承诺书）。（四）异地转诊人员需提供以下材料：1.医保电子凭证、有效身份证件或社会保障卡；2.备案表；3.参保地规定的定点医疗机构开具的转诊转院证明材料。（五）异地急诊抢救人员视同已备案。（六）其他跨省临时外出就医人员备案，需提供医保电子凭证、有效身份证件或社会保障卡，以及备案表。</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设区的</w:t>
            </w:r>
            <w:r>
              <w:rPr>
                <w:rFonts w:hint="eastAsia" w:asciiTheme="minorEastAsia" w:hAnsiTheme="minorEastAsia" w:eastAsiaTheme="minorEastAsia" w:cstheme="minorEastAsia"/>
                <w:bCs/>
                <w:color w:val="auto"/>
                <w:sz w:val="21"/>
                <w:szCs w:val="21"/>
              </w:rPr>
              <w:t>市</w:t>
            </w:r>
            <w:r>
              <w:rPr>
                <w:rFonts w:hint="eastAsia" w:asciiTheme="minorEastAsia" w:hAnsiTheme="minorEastAsia" w:eastAsiaTheme="minorEastAsia" w:cstheme="minorEastAsia"/>
                <w:i w:val="0"/>
                <w:iCs w:val="0"/>
                <w:color w:val="auto"/>
                <w:kern w:val="0"/>
                <w:sz w:val="21"/>
                <w:szCs w:val="21"/>
                <w:u w:val="none"/>
                <w:lang w:val="en-US" w:eastAsia="zh-CN" w:bidi="ar"/>
              </w:rPr>
              <w:t>级</w:t>
            </w:r>
            <w:r>
              <w:rPr>
                <w:rFonts w:hint="eastAsia" w:asciiTheme="minorEastAsia" w:hAnsiTheme="minorEastAsia" w:eastAsiaTheme="minorEastAsia" w:cstheme="minorEastAsia"/>
                <w:bCs/>
                <w:color w:val="auto"/>
                <w:sz w:val="21"/>
                <w:szCs w:val="21"/>
              </w:rPr>
              <w:t>、县</w:t>
            </w:r>
            <w:r>
              <w:rPr>
                <w:rFonts w:hint="eastAsia" w:asciiTheme="minorEastAsia" w:hAnsiTheme="minorEastAsia" w:eastAsiaTheme="minorEastAsia" w:cstheme="minorEastAsia"/>
                <w:i w:val="0"/>
                <w:iCs w:val="0"/>
                <w:color w:val="auto"/>
                <w:kern w:val="0"/>
                <w:sz w:val="21"/>
                <w:szCs w:val="21"/>
                <w:u w:val="none"/>
                <w:lang w:val="en-US" w:eastAsia="zh-CN" w:bidi="ar"/>
              </w:rPr>
              <w:t>级</w:t>
            </w:r>
            <w:r>
              <w:rPr>
                <w:rFonts w:hint="eastAsia" w:asciiTheme="minorEastAsia" w:hAnsiTheme="minorEastAsia" w:eastAsiaTheme="minorEastAsia" w:cstheme="minorEastAsia"/>
                <w:bCs/>
                <w:color w:val="auto"/>
                <w:sz w:val="21"/>
                <w:szCs w:val="21"/>
              </w:rPr>
              <w:t>医保经办</w:t>
            </w:r>
            <w:r>
              <w:rPr>
                <w:rFonts w:hint="eastAsia" w:asciiTheme="minorEastAsia" w:hAnsiTheme="minorEastAsia" w:eastAsiaTheme="minorEastAsia" w:cstheme="minorEastAsia"/>
                <w:bCs/>
                <w:color w:val="auto"/>
                <w:sz w:val="21"/>
                <w:szCs w:val="21"/>
                <w:lang w:eastAsia="zh-CN"/>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8"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自治区</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医保局</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医疗保险城乡居民终止（暂停）参保登记</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【法律】</w:t>
            </w: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《中华人民共和国社会保险法》</w:t>
            </w:r>
            <w:r>
              <w:rPr>
                <w:rFonts w:hint="eastAsia" w:asciiTheme="minorEastAsia" w:hAnsiTheme="minorEastAsia" w:eastAsiaTheme="minorEastAsia" w:cstheme="minorEastAsia"/>
                <w:bCs/>
                <w:color w:val="auto"/>
                <w:kern w:val="0"/>
                <w:sz w:val="21"/>
                <w:szCs w:val="21"/>
              </w:rPr>
              <w:t>（2018年修正）</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20" w:firstLineChars="200"/>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第四条 中华人民共和国境内的用人单位和个人依法缴纳社会保险费，有权查询缴费记录、个人权益记录，要求社会保险经办机构提供社会保险咨询等相关服务。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第八条　社会保险经办机构提供社会保险服务，负责社会保险登记、个人权益记录、社会保险待遇支付等工作。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bCs/>
                <w:color w:val="auto"/>
                <w:kern w:val="0"/>
                <w:sz w:val="21"/>
                <w:szCs w:val="21"/>
              </w:rPr>
              <w:t>【行政法规】</w:t>
            </w:r>
            <w:r>
              <w:rPr>
                <w:rFonts w:hint="eastAsia" w:asciiTheme="minorEastAsia" w:hAnsiTheme="minorEastAsia" w:eastAsiaTheme="minorEastAsia" w:cstheme="minorEastAsia"/>
                <w:i w:val="0"/>
                <w:iCs w:val="0"/>
                <w:color w:val="auto"/>
                <w:kern w:val="0"/>
                <w:sz w:val="21"/>
                <w:szCs w:val="21"/>
                <w:u w:val="none"/>
                <w:lang w:val="en-US" w:eastAsia="zh-CN" w:bidi="ar"/>
              </w:rPr>
              <w:t>《社会保险费征缴暂行条例》</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val="en-US" w:eastAsia="zh-CN"/>
              </w:rPr>
              <w:t>2019年修订</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leftChars="200"/>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缴费单位、缴费个人应当按时足额缴纳社会保险费。</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840" w:leftChars="200" w:hanging="420" w:hangingChars="200"/>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i w:val="0"/>
                <w:iCs w:val="0"/>
                <w:color w:val="auto"/>
                <w:kern w:val="0"/>
                <w:sz w:val="21"/>
                <w:szCs w:val="21"/>
                <w:u w:val="none"/>
                <w:lang w:val="en-US" w:eastAsia="zh-CN" w:bidi="ar"/>
              </w:rPr>
              <w:t>《宁夏回族自治区城乡居民基本医疗保险经办规程（试行）》（宁医保规发〔2021〕2号）</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20" w:firstLineChars="200"/>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第十二条 参保人员待遇享受期内，因就业等个人状态变化在职工医保和居民医保间切换参保关系的，优先享受职工医保待遇，在职工医保待遇等待期、停保期间享受居民医保待遇，且不得重复享受基本医疗保险待遇。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第十四条 参保人员死亡、失踪、出国定居的，应注销医保关系。参保人员或委托人持相关证件、材料向民生服务中心提出注销登记申请，经审核、复核后办理登记信息注销，填写《城乡居民基本医疗保险信息注销登记表》（附件2），并按要求提供以下材料：（一）参保人员、委托人的身份证、户口簿；（二）参保人员死亡的，提供死亡证明或公安机关的户籍注销证明；（三）参保人员出国定居的，提供出国定居证明；（四）参保人员失踪的，提供人民法院的宣告失踪判决。</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设区的</w:t>
            </w:r>
            <w:r>
              <w:rPr>
                <w:rFonts w:hint="eastAsia" w:asciiTheme="minorEastAsia" w:hAnsiTheme="minorEastAsia" w:eastAsiaTheme="minorEastAsia" w:cstheme="minorEastAsia"/>
                <w:bCs/>
                <w:color w:val="auto"/>
                <w:sz w:val="21"/>
                <w:szCs w:val="21"/>
              </w:rPr>
              <w:t>市</w:t>
            </w:r>
            <w:r>
              <w:rPr>
                <w:rFonts w:hint="eastAsia" w:asciiTheme="minorEastAsia" w:hAnsiTheme="minorEastAsia" w:eastAsiaTheme="minorEastAsia" w:cstheme="minorEastAsia"/>
                <w:i w:val="0"/>
                <w:iCs w:val="0"/>
                <w:color w:val="auto"/>
                <w:kern w:val="0"/>
                <w:sz w:val="21"/>
                <w:szCs w:val="21"/>
                <w:u w:val="none"/>
                <w:lang w:val="en-US" w:eastAsia="zh-CN" w:bidi="ar"/>
              </w:rPr>
              <w:t>级</w:t>
            </w:r>
            <w:r>
              <w:rPr>
                <w:rFonts w:hint="eastAsia" w:asciiTheme="minorEastAsia" w:hAnsiTheme="minorEastAsia" w:eastAsiaTheme="minorEastAsia" w:cstheme="minorEastAsia"/>
                <w:bCs/>
                <w:color w:val="auto"/>
                <w:sz w:val="21"/>
                <w:szCs w:val="21"/>
              </w:rPr>
              <w:t>、县</w:t>
            </w:r>
            <w:r>
              <w:rPr>
                <w:rFonts w:hint="eastAsia" w:asciiTheme="minorEastAsia" w:hAnsiTheme="minorEastAsia" w:eastAsiaTheme="minorEastAsia" w:cstheme="minorEastAsia"/>
                <w:i w:val="0"/>
                <w:iCs w:val="0"/>
                <w:color w:val="auto"/>
                <w:kern w:val="0"/>
                <w:sz w:val="21"/>
                <w:szCs w:val="21"/>
                <w:u w:val="none"/>
                <w:lang w:val="en-US" w:eastAsia="zh-CN" w:bidi="ar"/>
              </w:rPr>
              <w:t>级</w:t>
            </w:r>
            <w:r>
              <w:rPr>
                <w:rFonts w:hint="eastAsia" w:asciiTheme="minorEastAsia" w:hAnsiTheme="minorEastAsia" w:eastAsiaTheme="minorEastAsia" w:cstheme="minorEastAsia"/>
                <w:bCs/>
                <w:color w:val="auto"/>
                <w:sz w:val="21"/>
                <w:szCs w:val="21"/>
              </w:rPr>
              <w:t>医保经办</w:t>
            </w:r>
            <w:r>
              <w:rPr>
                <w:rFonts w:hint="eastAsia" w:asciiTheme="minorEastAsia" w:hAnsiTheme="minorEastAsia" w:eastAsiaTheme="minorEastAsia" w:cstheme="minorEastAsia"/>
                <w:bCs/>
                <w:color w:val="auto"/>
                <w:sz w:val="21"/>
                <w:szCs w:val="21"/>
                <w:lang w:eastAsia="zh-CN"/>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4"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beforeAutospacing="0"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自治区</w:t>
            </w:r>
          </w:p>
          <w:p>
            <w:pPr>
              <w:keepNext w:val="0"/>
              <w:keepLines w:val="0"/>
              <w:pageBreakBefore w:val="0"/>
              <w:widowControl/>
              <w:kinsoku/>
              <w:wordWrap/>
              <w:overflowPunct/>
              <w:topLinePunct w:val="0"/>
              <w:autoSpaceDE/>
              <w:autoSpaceDN/>
              <w:bidi w:val="0"/>
              <w:adjustRightInd/>
              <w:snapToGrid/>
              <w:spacing w:beforeAutospacing="0"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医保局</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beforeAutospacing="0" w:line="340" w:lineRule="exact"/>
              <w:jc w:val="lef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医疗保险城乡居民恢复参保</w:t>
            </w:r>
          </w:p>
        </w:tc>
        <w:tc>
          <w:tcPr>
            <w:tcW w:w="1025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【法律】</w:t>
            </w: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《中华人民共和国社会保险法》</w:t>
            </w:r>
            <w:r>
              <w:rPr>
                <w:rFonts w:hint="eastAsia" w:asciiTheme="minorEastAsia" w:hAnsiTheme="minorEastAsia" w:eastAsiaTheme="minorEastAsia" w:cstheme="minorEastAsia"/>
                <w:bCs/>
                <w:color w:val="auto"/>
                <w:kern w:val="0"/>
                <w:sz w:val="21"/>
                <w:szCs w:val="21"/>
              </w:rPr>
              <w:t>（2018年修正）</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第四条　中华人民共和国境内的用人单位和个人依法缴纳社会保险费，有权查询缴费记录、个人权益记录，要求社会保险经办机构提供社会保险咨询等相关服务。</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第八条　社会保险经办机构提供社会保险服务，负责社会保险登记、个人权益记录、社会保险待遇支付等工作。                      </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【行政法规】</w:t>
            </w:r>
            <w:r>
              <w:rPr>
                <w:rFonts w:hint="eastAsia" w:asciiTheme="minorEastAsia" w:hAnsiTheme="minorEastAsia" w:eastAsiaTheme="minorEastAsia" w:cstheme="minorEastAsia"/>
                <w:i w:val="0"/>
                <w:iCs w:val="0"/>
                <w:color w:val="auto"/>
                <w:kern w:val="0"/>
                <w:sz w:val="21"/>
                <w:szCs w:val="21"/>
                <w:u w:val="none"/>
                <w:lang w:val="en-US" w:eastAsia="zh-CN" w:bidi="ar"/>
              </w:rPr>
              <w:t>《社会保险费征缴暂行条例》</w:t>
            </w:r>
            <w:r>
              <w:rPr>
                <w:rFonts w:hint="eastAsia" w:asciiTheme="minorEastAsia" w:hAnsiTheme="minorEastAsia" w:eastAsiaTheme="minorEastAsia" w:cstheme="minorEastAsia"/>
                <w:bCs/>
                <w:color w:val="auto"/>
                <w:kern w:val="0"/>
                <w:sz w:val="21"/>
                <w:szCs w:val="21"/>
              </w:rPr>
              <w:t>（2019修订）</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第四条 缴费单位、缴费个人应当按时足额缴纳社会保险费。</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i w:val="0"/>
                <w:iCs w:val="0"/>
                <w:color w:val="auto"/>
                <w:kern w:val="0"/>
                <w:sz w:val="21"/>
                <w:szCs w:val="21"/>
                <w:u w:val="none"/>
                <w:lang w:val="en-US" w:eastAsia="zh-CN" w:bidi="ar"/>
              </w:rPr>
              <w:t>《基本医疗保险关系转移接续暂行办法》（医保办发〔2021〕43号）</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第五条 参保人员跨统筹地区流动，不得重复参保和重复享受待遇，按规定办理基本医疗保险关系转移接续。有单位的职工医保参保人员可由单位为其申请办理，灵活就业人员及居民等参保人员由个人申请办理。1.职工医保制度内转移接续。职工医保参保人员跨统筹地区就业，转出地已中止参保，在转入地按规定参加职工医保的，应申请转移接续。2.居民医保制度内转移接续。居民医保参保人员因户籍或常住地变动跨统筹地区流动,原则上当年度在转入地不再办理转移接续手续，参保人员按转入地规定参加下一年度居民医保后，可申请转移接续。3.职工医保和居民医保跨制度转移接续。职工医保参保人员跨统筹地区流动，转出地已中止参保，在转入地按规定参加居民医保的，可申请转移接续。居民医保参保人员跨统筹地区流动，转出地已中止参保，在转入地按规定参加职工医保的，可申请转移接续。</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i w:val="0"/>
                <w:iCs w:val="0"/>
                <w:color w:val="auto"/>
                <w:kern w:val="0"/>
                <w:sz w:val="21"/>
                <w:szCs w:val="21"/>
                <w:u w:val="none"/>
                <w:lang w:val="en-US" w:eastAsia="zh-CN" w:bidi="ar"/>
              </w:rPr>
              <w:t>《宁夏回族自治区城乡居民基本医疗保险经办规程（试行）》（宁医保规发〔2021〕2号）</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left="0" w:leftChars="0"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第十二条 参保人员待遇享受期内，因就业等个人状态变化在职工医保和居民医保间切换参保关系的，优先享受职工医保待遇，在职工医保待遇等待期、停保期间享受居民医保待遇，且不得重复享受基本医疗保险待遇。</w:t>
            </w:r>
          </w:p>
        </w:tc>
        <w:tc>
          <w:tcPr>
            <w:tcW w:w="1304" w:type="dxa"/>
            <w:noWrap w:val="0"/>
            <w:vAlign w:val="center"/>
          </w:tcPr>
          <w:p>
            <w:pPr>
              <w:keepNext w:val="0"/>
              <w:keepLines w:val="0"/>
              <w:pageBreakBefore w:val="0"/>
              <w:kinsoku/>
              <w:wordWrap/>
              <w:overflowPunct/>
              <w:topLinePunct w:val="0"/>
              <w:autoSpaceDE/>
              <w:autoSpaceDN/>
              <w:bidi w:val="0"/>
              <w:adjustRightInd/>
              <w:snapToGrid/>
              <w:spacing w:beforeAutospacing="0" w:line="340" w:lineRule="exact"/>
              <w:jc w:val="both"/>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sz w:val="21"/>
                <w:szCs w:val="21"/>
                <w:lang w:eastAsia="zh-CN"/>
              </w:rPr>
              <w:t>设区的</w:t>
            </w:r>
            <w:r>
              <w:rPr>
                <w:rFonts w:hint="eastAsia" w:asciiTheme="minorEastAsia" w:hAnsiTheme="minorEastAsia" w:eastAsiaTheme="minorEastAsia" w:cstheme="minorEastAsia"/>
                <w:bCs/>
                <w:color w:val="auto"/>
                <w:sz w:val="21"/>
                <w:szCs w:val="21"/>
              </w:rPr>
              <w:t>市</w:t>
            </w:r>
            <w:r>
              <w:rPr>
                <w:rFonts w:hint="eastAsia" w:asciiTheme="minorEastAsia" w:hAnsiTheme="minorEastAsia" w:eastAsiaTheme="minorEastAsia" w:cstheme="minorEastAsia"/>
                <w:i w:val="0"/>
                <w:iCs w:val="0"/>
                <w:color w:val="auto"/>
                <w:kern w:val="0"/>
                <w:sz w:val="21"/>
                <w:szCs w:val="21"/>
                <w:u w:val="none"/>
                <w:lang w:val="en-US" w:eastAsia="zh-CN" w:bidi="ar"/>
              </w:rPr>
              <w:t>级</w:t>
            </w:r>
            <w:r>
              <w:rPr>
                <w:rFonts w:hint="eastAsia" w:asciiTheme="minorEastAsia" w:hAnsiTheme="minorEastAsia" w:eastAsiaTheme="minorEastAsia" w:cstheme="minorEastAsia"/>
                <w:bCs/>
                <w:color w:val="auto"/>
                <w:sz w:val="21"/>
                <w:szCs w:val="21"/>
              </w:rPr>
              <w:t>、县</w:t>
            </w:r>
            <w:r>
              <w:rPr>
                <w:rFonts w:hint="eastAsia" w:asciiTheme="minorEastAsia" w:hAnsiTheme="minorEastAsia" w:eastAsiaTheme="minorEastAsia" w:cstheme="minorEastAsia"/>
                <w:i w:val="0"/>
                <w:iCs w:val="0"/>
                <w:color w:val="auto"/>
                <w:kern w:val="0"/>
                <w:sz w:val="21"/>
                <w:szCs w:val="21"/>
                <w:u w:val="none"/>
                <w:lang w:val="en-US" w:eastAsia="zh-CN" w:bidi="ar"/>
              </w:rPr>
              <w:t>级</w:t>
            </w:r>
            <w:r>
              <w:rPr>
                <w:rFonts w:hint="eastAsia" w:asciiTheme="minorEastAsia" w:hAnsiTheme="minorEastAsia" w:eastAsiaTheme="minorEastAsia" w:cstheme="minorEastAsia"/>
                <w:bCs/>
                <w:color w:val="auto"/>
                <w:sz w:val="21"/>
                <w:szCs w:val="21"/>
              </w:rPr>
              <w:t>医保经办</w:t>
            </w:r>
            <w:r>
              <w:rPr>
                <w:rFonts w:hint="eastAsia" w:asciiTheme="minorEastAsia" w:hAnsiTheme="minorEastAsia" w:eastAsiaTheme="minorEastAsia" w:cstheme="minorEastAsia"/>
                <w:bCs/>
                <w:color w:val="auto"/>
                <w:sz w:val="21"/>
                <w:szCs w:val="21"/>
                <w:lang w:eastAsia="zh-CN"/>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3"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lang w:eastAsia="zh-CN"/>
              </w:rPr>
              <w:t>残联</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宁夏残疾人自主就业创业扶持延续申请</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bCs/>
                <w:color w:val="auto"/>
                <w:kern w:val="0"/>
                <w:sz w:val="21"/>
                <w:szCs w:val="21"/>
                <w:lang w:val="en-US" w:eastAsia="zh-CN"/>
              </w:rPr>
              <w:t xml:space="preserve"> </w:t>
            </w:r>
            <w:r>
              <w:rPr>
                <w:rFonts w:hint="eastAsia" w:asciiTheme="minorEastAsia" w:hAnsiTheme="minorEastAsia" w:eastAsiaTheme="minorEastAsia" w:cstheme="minorEastAsia"/>
                <w:bCs/>
                <w:color w:val="auto"/>
                <w:kern w:val="0"/>
                <w:sz w:val="21"/>
                <w:szCs w:val="21"/>
              </w:rPr>
              <w:t>《中国残联、国家发展改革委、民政部等15个部门关于扶持残疾人自主就业创业的意见》（残联发〔2018〕6号）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一是提供合理便利和优先照顾；二是落实税收优惠和收费减免；三是提供金融扶持和资金补贴；四是支持重点对象和互联网+创业；五是提供支持保障和</w:t>
            </w:r>
            <w:r>
              <w:rPr>
                <w:rFonts w:hint="eastAsia" w:asciiTheme="minorEastAsia" w:hAnsiTheme="minorEastAsia" w:eastAsiaTheme="minorEastAsia" w:cstheme="minorEastAsia"/>
                <w:bCs/>
                <w:color w:val="auto"/>
                <w:kern w:val="0"/>
                <w:sz w:val="21"/>
                <w:szCs w:val="21"/>
                <w:lang w:eastAsia="zh-CN"/>
              </w:rPr>
              <w:t>就业服务</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lang w:val="en-US" w:eastAsia="zh-CN"/>
              </w:rPr>
              <w:t xml:space="preserve">    </w:t>
            </w: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bCs/>
                <w:color w:val="auto"/>
                <w:kern w:val="0"/>
                <w:sz w:val="21"/>
                <w:szCs w:val="21"/>
                <w:lang w:val="en-US" w:eastAsia="zh-CN"/>
              </w:rPr>
              <w:t xml:space="preserve"> </w:t>
            </w:r>
            <w:r>
              <w:rPr>
                <w:rFonts w:hint="eastAsia" w:asciiTheme="minorEastAsia" w:hAnsiTheme="minorEastAsia" w:eastAsiaTheme="minorEastAsia" w:cstheme="minorEastAsia"/>
                <w:bCs/>
                <w:color w:val="auto"/>
                <w:kern w:val="0"/>
                <w:sz w:val="21"/>
                <w:szCs w:val="21"/>
              </w:rPr>
              <w:t>《自治区残联</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发展和改革委</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民政厅等15个部门关于印发&lt;宁夏回族自治区扶持残疾人自主就业创业办法&gt;的通知》（宁残联发〔2019〕7号）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第二十三条 符合条件的残疾人申请自主就业创业扶持，需到就业创业所在地县级残联或残疾人就业服务机构填写《宁夏残疾人自主就业创业扶持申请</w:t>
            </w:r>
            <w:r>
              <w:rPr>
                <w:rFonts w:hint="eastAsia" w:asciiTheme="minorEastAsia" w:hAnsiTheme="minorEastAsia" w:eastAsiaTheme="minorEastAsia" w:cstheme="minorEastAsia"/>
                <w:bCs/>
                <w:color w:val="auto"/>
                <w:kern w:val="0"/>
                <w:sz w:val="21"/>
                <w:szCs w:val="21"/>
                <w:lang w:eastAsia="zh-CN"/>
              </w:rPr>
              <w:t>审</w:t>
            </w:r>
            <w:r>
              <w:rPr>
                <w:rFonts w:hint="eastAsia" w:asciiTheme="minorEastAsia" w:hAnsiTheme="minorEastAsia" w:eastAsiaTheme="minorEastAsia" w:cstheme="minorEastAsia"/>
                <w:bCs/>
                <w:color w:val="auto"/>
                <w:kern w:val="0"/>
                <w:sz w:val="21"/>
                <w:szCs w:val="21"/>
              </w:rPr>
              <w:t>批表》（见附件），并出具以下材料：（一）残疾人本人身份证、残疾人证原件及复印件</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（二）首次创业的需提供《营业执照》原件及复印件</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（三）首次创业的，应有固定的经营（服务）场所或一年以上的场地租赁合同（服务协议）</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（四）灵活就业的需提供就业所在地村（社区）的证明。</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kern w:val="0"/>
                <w:sz w:val="21"/>
                <w:szCs w:val="21"/>
              </w:rPr>
              <w:t>县级残联或残疾人</w:t>
            </w:r>
            <w:r>
              <w:rPr>
                <w:rFonts w:hint="eastAsia" w:asciiTheme="minorEastAsia" w:hAnsiTheme="minorEastAsia" w:eastAsiaTheme="minorEastAsia" w:cstheme="minorEastAsia"/>
                <w:bCs/>
                <w:color w:val="auto"/>
                <w:kern w:val="0"/>
                <w:sz w:val="21"/>
                <w:szCs w:val="21"/>
                <w:lang w:eastAsia="zh-CN"/>
              </w:rPr>
              <w:t>劳动</w:t>
            </w:r>
            <w:r>
              <w:rPr>
                <w:rFonts w:hint="eastAsia" w:asciiTheme="minorEastAsia" w:hAnsiTheme="minorEastAsia" w:eastAsiaTheme="minorEastAsia" w:cstheme="minorEastAsia"/>
                <w:bCs/>
                <w:color w:val="auto"/>
                <w:kern w:val="0"/>
                <w:sz w:val="21"/>
                <w:szCs w:val="21"/>
              </w:rPr>
              <w:t>就业服务机构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lang w:eastAsia="zh-CN"/>
              </w:rPr>
              <w:t>残联</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宁夏残疾人自主就业创业扶持首次申请</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【规范性文件】《中国残联、国家发展改革委、民政部等15个部门关于扶持残疾人自主就业创业的意见》（残联发〔2018〕6号）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一是提供合理便利和优先照顾；二是落实税收优惠和收费减免；三是提供金融扶持和资金补贴；四是支持重点对象和互联网+创业；五是提供支持保障和</w:t>
            </w:r>
            <w:r>
              <w:rPr>
                <w:rFonts w:hint="eastAsia" w:asciiTheme="minorEastAsia" w:hAnsiTheme="minorEastAsia" w:eastAsiaTheme="minorEastAsia" w:cstheme="minorEastAsia"/>
                <w:bCs/>
                <w:color w:val="auto"/>
                <w:kern w:val="0"/>
                <w:sz w:val="21"/>
                <w:szCs w:val="21"/>
                <w:lang w:eastAsia="zh-CN"/>
              </w:rPr>
              <w:t>就业服务</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【规范性文件】《自治区残联</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发展和改革委</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民政厅等15个部门关于印发&lt;宁夏回族自治区扶持残疾人自主就业创业办法&gt;的通知》（宁残联发〔2019〕7号）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sz w:val="21"/>
                <w:szCs w:val="21"/>
              </w:rPr>
              <w:t>第二十三条 符合条件的残疾人申请自主就业创业扶持，需到就业创业所在地县级残联或残疾人劳动就业服务机构填写《宁夏残疾人自主就业创业扶持申请审批表》（见附件），并出具以下材料：（一）残疾人本人身份证、残疾人证原件及复印件</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（二）首次创业的需提供《营业执照》原件及复印件</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（三）首次创业的，应有固定的经营（服务）场所或一年以上的场地租赁合同（服务协议）</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（四）灵活就业的需提供就业所在地村（社区）的证明。</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kern w:val="0"/>
                <w:sz w:val="21"/>
                <w:szCs w:val="21"/>
              </w:rPr>
              <w:t>县级残联或残疾人劳动就业服务机构</w:t>
            </w:r>
          </w:p>
        </w:tc>
      </w:tr>
    </w:tbl>
    <w:p>
      <w:pPr>
        <w:pStyle w:val="8"/>
        <w:keepNext w:val="0"/>
        <w:keepLines w:val="0"/>
        <w:pageBreakBefore w:val="0"/>
        <w:widowControl w:val="0"/>
        <w:kinsoku/>
        <w:wordWrap/>
        <w:overflowPunct/>
        <w:topLinePunct w:val="0"/>
        <w:autoSpaceDE/>
        <w:autoSpaceDN/>
        <w:bidi w:val="0"/>
        <w:adjustRightInd/>
        <w:snapToGrid/>
        <w:spacing w:before="157" w:beforeLines="50" w:beforeAutospacing="0" w:after="0" w:line="320" w:lineRule="exact"/>
        <w:ind w:left="0" w:leftChars="0" w:firstLine="0" w:firstLineChars="0"/>
        <w:jc w:val="left"/>
        <w:textAlignment w:val="auto"/>
        <w:rPr>
          <w:rFonts w:hint="eastAsia"/>
        </w:rPr>
      </w:pPr>
      <w:r>
        <w:rPr>
          <w:rFonts w:hint="eastAsia" w:asciiTheme="minorEastAsia" w:hAnsiTheme="minorEastAsia" w:eastAsiaTheme="minorEastAsia" w:cstheme="minorEastAsia"/>
          <w:b w:val="0"/>
          <w:bCs/>
          <w:color w:val="auto"/>
          <w:kern w:val="0"/>
          <w:sz w:val="24"/>
          <w:szCs w:val="24"/>
        </w:rPr>
        <w:t>（说明：共</w:t>
      </w:r>
      <w:r>
        <w:rPr>
          <w:rFonts w:hint="eastAsia" w:asciiTheme="minorEastAsia" w:hAnsiTheme="minorEastAsia" w:eastAsiaTheme="minorEastAsia" w:cstheme="minorEastAsia"/>
          <w:b w:val="0"/>
          <w:bCs/>
          <w:color w:val="auto"/>
          <w:kern w:val="0"/>
          <w:sz w:val="24"/>
          <w:szCs w:val="24"/>
          <w:lang w:val="en-US" w:eastAsia="zh-CN"/>
        </w:rPr>
        <w:t>50</w:t>
      </w:r>
      <w:r>
        <w:rPr>
          <w:rFonts w:hint="eastAsia" w:asciiTheme="minorEastAsia" w:hAnsiTheme="minorEastAsia" w:eastAsiaTheme="minorEastAsia" w:cstheme="minorEastAsia"/>
          <w:b w:val="0"/>
          <w:bCs/>
          <w:color w:val="auto"/>
          <w:kern w:val="0"/>
          <w:sz w:val="24"/>
          <w:szCs w:val="24"/>
        </w:rPr>
        <w:t>项，其中：一、行政处罚</w:t>
      </w:r>
      <w:r>
        <w:rPr>
          <w:rFonts w:hint="eastAsia" w:asciiTheme="minorEastAsia" w:hAnsiTheme="minorEastAsia" w:eastAsiaTheme="minorEastAsia" w:cstheme="minorEastAsia"/>
          <w:b w:val="0"/>
          <w:bCs/>
          <w:color w:val="auto"/>
          <w:kern w:val="0"/>
          <w:sz w:val="24"/>
          <w:szCs w:val="24"/>
          <w:lang w:val="en-US" w:eastAsia="zh-CN"/>
        </w:rPr>
        <w:t>30</w:t>
      </w:r>
      <w:r>
        <w:rPr>
          <w:rFonts w:hint="eastAsia" w:asciiTheme="minorEastAsia" w:hAnsiTheme="minorEastAsia" w:eastAsiaTheme="minorEastAsia" w:cstheme="minorEastAsia"/>
          <w:b w:val="0"/>
          <w:bCs/>
          <w:color w:val="auto"/>
          <w:kern w:val="0"/>
          <w:sz w:val="24"/>
          <w:szCs w:val="24"/>
        </w:rPr>
        <w:t>项；二、行政检查</w:t>
      </w:r>
      <w:r>
        <w:rPr>
          <w:rFonts w:hint="eastAsia" w:asciiTheme="minorEastAsia" w:hAnsiTheme="minorEastAsia" w:eastAsiaTheme="minorEastAsia" w:cstheme="minorEastAsia"/>
          <w:b w:val="0"/>
          <w:bCs/>
          <w:color w:val="auto"/>
          <w:kern w:val="0"/>
          <w:sz w:val="24"/>
          <w:szCs w:val="24"/>
          <w:lang w:val="en-US" w:eastAsia="zh-CN"/>
        </w:rPr>
        <w:t>1</w:t>
      </w:r>
      <w:r>
        <w:rPr>
          <w:rFonts w:hint="eastAsia" w:asciiTheme="minorEastAsia" w:hAnsiTheme="minorEastAsia" w:eastAsiaTheme="minorEastAsia" w:cstheme="minorEastAsia"/>
          <w:b w:val="0"/>
          <w:bCs/>
          <w:color w:val="auto"/>
          <w:kern w:val="0"/>
          <w:sz w:val="24"/>
          <w:szCs w:val="24"/>
        </w:rPr>
        <w:t>项；三、行政给付</w:t>
      </w:r>
      <w:r>
        <w:rPr>
          <w:rFonts w:hint="eastAsia" w:asciiTheme="minorEastAsia" w:hAnsiTheme="minorEastAsia" w:eastAsiaTheme="minorEastAsia" w:cstheme="minorEastAsia"/>
          <w:b w:val="0"/>
          <w:bCs/>
          <w:color w:val="auto"/>
          <w:kern w:val="0"/>
          <w:sz w:val="24"/>
          <w:szCs w:val="24"/>
          <w:lang w:val="en-US" w:eastAsia="zh-CN"/>
        </w:rPr>
        <w:t>2</w:t>
      </w:r>
      <w:r>
        <w:rPr>
          <w:rFonts w:hint="eastAsia" w:asciiTheme="minorEastAsia" w:hAnsiTheme="minorEastAsia" w:eastAsiaTheme="minorEastAsia" w:cstheme="minorEastAsia"/>
          <w:b w:val="0"/>
          <w:bCs/>
          <w:color w:val="auto"/>
          <w:kern w:val="0"/>
          <w:sz w:val="24"/>
          <w:szCs w:val="24"/>
        </w:rPr>
        <w:t>项；</w:t>
      </w:r>
      <w:r>
        <w:rPr>
          <w:rFonts w:hint="eastAsia" w:asciiTheme="minorEastAsia" w:hAnsiTheme="minorEastAsia" w:eastAsiaTheme="minorEastAsia" w:cstheme="minorEastAsia"/>
          <w:b w:val="0"/>
          <w:bCs/>
          <w:color w:val="auto"/>
          <w:kern w:val="0"/>
          <w:sz w:val="24"/>
          <w:szCs w:val="24"/>
          <w:lang w:eastAsia="zh-CN"/>
        </w:rPr>
        <w:t>四</w:t>
      </w:r>
      <w:r>
        <w:rPr>
          <w:rFonts w:hint="eastAsia" w:asciiTheme="minorEastAsia" w:hAnsiTheme="minorEastAsia" w:eastAsiaTheme="minorEastAsia" w:cstheme="minorEastAsia"/>
          <w:b w:val="0"/>
          <w:bCs/>
          <w:color w:val="auto"/>
          <w:kern w:val="0"/>
          <w:sz w:val="24"/>
          <w:szCs w:val="24"/>
        </w:rPr>
        <w:t>、公共服务</w:t>
      </w:r>
      <w:r>
        <w:rPr>
          <w:rFonts w:hint="eastAsia" w:asciiTheme="minorEastAsia" w:hAnsiTheme="minorEastAsia" w:eastAsiaTheme="minorEastAsia" w:cstheme="minorEastAsia"/>
          <w:b w:val="0"/>
          <w:bCs/>
          <w:color w:val="auto"/>
          <w:kern w:val="0"/>
          <w:sz w:val="24"/>
          <w:szCs w:val="24"/>
          <w:lang w:val="en-US" w:eastAsia="zh-CN"/>
        </w:rPr>
        <w:t>17</w:t>
      </w:r>
      <w:r>
        <w:rPr>
          <w:rFonts w:hint="eastAsia" w:asciiTheme="minorEastAsia" w:hAnsiTheme="minorEastAsia" w:eastAsiaTheme="minorEastAsia" w:cstheme="minorEastAsia"/>
          <w:b w:val="0"/>
          <w:bCs/>
          <w:color w:val="auto"/>
          <w:kern w:val="0"/>
          <w:sz w:val="24"/>
          <w:szCs w:val="24"/>
        </w:rPr>
        <w:t>项。）</w:t>
      </w:r>
    </w:p>
    <w:sectPr>
      <w:footerReference r:id="rId3" w:type="default"/>
      <w:pgSz w:w="16838" w:h="11906" w:orient="landscape"/>
      <w:pgMar w:top="1077" w:right="1247" w:bottom="1020" w:left="1247" w:header="851" w:footer="992" w:gutter="0"/>
      <w:pgNumType w:fmt="decimal" w:start="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BE0F9"/>
    <w:multiLevelType w:val="singleLevel"/>
    <w:tmpl w:val="BECBE0F9"/>
    <w:lvl w:ilvl="0" w:tentative="0">
      <w:start w:val="4"/>
      <w:numFmt w:val="chineseCounting"/>
      <w:suff w:val="space"/>
      <w:lvlText w:val="第%1条"/>
      <w:lvlJc w:val="left"/>
      <w:rPr>
        <w:rFonts w:hint="eastAsia"/>
      </w:rPr>
    </w:lvl>
  </w:abstractNum>
  <w:abstractNum w:abstractNumId="1">
    <w:nsid w:val="29F66E6A"/>
    <w:multiLevelType w:val="singleLevel"/>
    <w:tmpl w:val="29F66E6A"/>
    <w:lvl w:ilvl="0" w:tentative="0">
      <w:start w:val="1"/>
      <w:numFmt w:val="chineseCounting"/>
      <w:suff w:val="nothing"/>
      <w:lvlText w:val="%1、"/>
      <w:lvlJc w:val="left"/>
      <w:rPr>
        <w:rFonts w:hint="eastAsia"/>
      </w:rPr>
    </w:lvl>
  </w:abstractNum>
  <w:abstractNum w:abstractNumId="2">
    <w:nsid w:val="2C0C93E4"/>
    <w:multiLevelType w:val="singleLevel"/>
    <w:tmpl w:val="2C0C93E4"/>
    <w:lvl w:ilvl="0" w:tentative="0">
      <w:start w:val="7"/>
      <w:numFmt w:val="chineseCounting"/>
      <w:suff w:val="space"/>
      <w:lvlText w:val="第%1条"/>
      <w:lvlJc w:val="left"/>
      <w:rPr>
        <w:rFonts w:hint="eastAsia"/>
      </w:rPr>
    </w:lvl>
  </w:abstractNum>
  <w:abstractNum w:abstractNumId="3">
    <w:nsid w:val="5FFF0C66"/>
    <w:multiLevelType w:val="singleLevel"/>
    <w:tmpl w:val="5FFF0C66"/>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OTI5YTM5MGY5OTZmMDM5NjJmYjljMDE1NDIxOWMifQ=="/>
  </w:docVars>
  <w:rsids>
    <w:rsidRoot w:val="06B32211"/>
    <w:rsid w:val="00766B32"/>
    <w:rsid w:val="062C7C0D"/>
    <w:rsid w:val="062F78C2"/>
    <w:rsid w:val="06807102"/>
    <w:rsid w:val="06B32211"/>
    <w:rsid w:val="07995C58"/>
    <w:rsid w:val="0B5D49EB"/>
    <w:rsid w:val="0B86222D"/>
    <w:rsid w:val="0D2C4D0F"/>
    <w:rsid w:val="11243F43"/>
    <w:rsid w:val="130F7492"/>
    <w:rsid w:val="140A6F43"/>
    <w:rsid w:val="14353475"/>
    <w:rsid w:val="156F7031"/>
    <w:rsid w:val="17E84544"/>
    <w:rsid w:val="17F24483"/>
    <w:rsid w:val="185A5BA0"/>
    <w:rsid w:val="19CD23DD"/>
    <w:rsid w:val="1BC41F20"/>
    <w:rsid w:val="1CD4559F"/>
    <w:rsid w:val="1E1B940B"/>
    <w:rsid w:val="21F15B33"/>
    <w:rsid w:val="23BD539C"/>
    <w:rsid w:val="2599437C"/>
    <w:rsid w:val="265E6ADA"/>
    <w:rsid w:val="26F62AAF"/>
    <w:rsid w:val="2A8F2C6F"/>
    <w:rsid w:val="2B5D347B"/>
    <w:rsid w:val="2C7B03F8"/>
    <w:rsid w:val="2D7B29FC"/>
    <w:rsid w:val="2EB97E06"/>
    <w:rsid w:val="2EFEA6FE"/>
    <w:rsid w:val="2FDC70B0"/>
    <w:rsid w:val="36617CA1"/>
    <w:rsid w:val="367C586A"/>
    <w:rsid w:val="37F7FDE4"/>
    <w:rsid w:val="3A2F07E2"/>
    <w:rsid w:val="3B182913"/>
    <w:rsid w:val="3CD1663F"/>
    <w:rsid w:val="3EFBF102"/>
    <w:rsid w:val="3F5FAFE7"/>
    <w:rsid w:val="3FB20098"/>
    <w:rsid w:val="411509A7"/>
    <w:rsid w:val="43016A21"/>
    <w:rsid w:val="43745415"/>
    <w:rsid w:val="44B411D1"/>
    <w:rsid w:val="464F6C87"/>
    <w:rsid w:val="4923393D"/>
    <w:rsid w:val="4BDC7B84"/>
    <w:rsid w:val="4C4D1258"/>
    <w:rsid w:val="4CE92B7A"/>
    <w:rsid w:val="4D20220D"/>
    <w:rsid w:val="4DD72D16"/>
    <w:rsid w:val="4E8216CE"/>
    <w:rsid w:val="4F1F46F4"/>
    <w:rsid w:val="50681222"/>
    <w:rsid w:val="509632FA"/>
    <w:rsid w:val="50A7484C"/>
    <w:rsid w:val="50B82E88"/>
    <w:rsid w:val="53E44BDC"/>
    <w:rsid w:val="568B52FD"/>
    <w:rsid w:val="56B22127"/>
    <w:rsid w:val="56B804E3"/>
    <w:rsid w:val="573F0C76"/>
    <w:rsid w:val="58F600EE"/>
    <w:rsid w:val="5AE449F0"/>
    <w:rsid w:val="5C266FD2"/>
    <w:rsid w:val="5EE66BB2"/>
    <w:rsid w:val="5F6F06FA"/>
    <w:rsid w:val="5FF556A7"/>
    <w:rsid w:val="611E512E"/>
    <w:rsid w:val="62D125F3"/>
    <w:rsid w:val="63F628BA"/>
    <w:rsid w:val="6489035F"/>
    <w:rsid w:val="655F335E"/>
    <w:rsid w:val="658D2C10"/>
    <w:rsid w:val="66FD5528"/>
    <w:rsid w:val="69824499"/>
    <w:rsid w:val="6DB95525"/>
    <w:rsid w:val="6DEF49A8"/>
    <w:rsid w:val="6F3BC2B8"/>
    <w:rsid w:val="707048A1"/>
    <w:rsid w:val="73F50B83"/>
    <w:rsid w:val="751C4063"/>
    <w:rsid w:val="76874ED2"/>
    <w:rsid w:val="79223F82"/>
    <w:rsid w:val="7CBD5D1B"/>
    <w:rsid w:val="7E5E4287"/>
    <w:rsid w:val="7E7D71BA"/>
    <w:rsid w:val="7EDF1BBC"/>
    <w:rsid w:val="7F3DD4AD"/>
    <w:rsid w:val="7FBFC26A"/>
    <w:rsid w:val="7FC02D16"/>
    <w:rsid w:val="7FD65155"/>
    <w:rsid w:val="7FFE432B"/>
    <w:rsid w:val="7FFEC981"/>
    <w:rsid w:val="8FCD4A3B"/>
    <w:rsid w:val="AFEFA80D"/>
    <w:rsid w:val="AFF75433"/>
    <w:rsid w:val="AFFFA42D"/>
    <w:rsid w:val="B5FDD828"/>
    <w:rsid w:val="BFFFF4DC"/>
    <w:rsid w:val="D1756BB8"/>
    <w:rsid w:val="D77FD00A"/>
    <w:rsid w:val="D78FE5ED"/>
    <w:rsid w:val="DD7E8073"/>
    <w:rsid w:val="DEEDCCA5"/>
    <w:rsid w:val="E53731E3"/>
    <w:rsid w:val="E6F9A519"/>
    <w:rsid w:val="E7975E21"/>
    <w:rsid w:val="EBFB65E0"/>
    <w:rsid w:val="EF7F3D9A"/>
    <w:rsid w:val="EFBF8E25"/>
    <w:rsid w:val="F75F3358"/>
    <w:rsid w:val="F7652068"/>
    <w:rsid w:val="F9ED7767"/>
    <w:rsid w:val="FBDF2E1C"/>
    <w:rsid w:val="FDD9BEBD"/>
    <w:rsid w:val="FE6FCC90"/>
    <w:rsid w:val="FF6F7DB3"/>
    <w:rsid w:val="FF76A9B9"/>
    <w:rsid w:val="FFFF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paragraph" w:styleId="4">
    <w:name w:val="annotation text"/>
    <w:basedOn w:val="1"/>
    <w:unhideWhenUsed/>
    <w:qFormat/>
    <w:uiPriority w:val="99"/>
    <w:pPr>
      <w:jc w:val="left"/>
    </w:pPr>
  </w:style>
  <w:style w:type="paragraph" w:styleId="5">
    <w:name w:val="Body Text Indent"/>
    <w:basedOn w:val="1"/>
    <w:next w:val="1"/>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unhideWhenUsed/>
    <w:qFormat/>
    <w:uiPriority w:val="99"/>
    <w:pPr>
      <w:spacing w:before="100" w:beforeAutospacing="1"/>
      <w:ind w:firstLine="420" w:firstLineChars="200"/>
    </w:pPr>
  </w:style>
  <w:style w:type="character" w:styleId="11">
    <w:name w:val="Strong"/>
    <w:basedOn w:val="10"/>
    <w:qFormat/>
    <w:uiPriority w:val="0"/>
    <w:rPr>
      <w:b/>
    </w:rPr>
  </w:style>
  <w:style w:type="character" w:customStyle="1" w:styleId="12">
    <w:name w:val="font81"/>
    <w:basedOn w:val="10"/>
    <w:qFormat/>
    <w:uiPriority w:val="0"/>
    <w:rPr>
      <w:rFonts w:hint="eastAsia" w:ascii="宋体" w:hAnsi="宋体" w:eastAsia="宋体" w:cs="宋体"/>
      <w:b/>
      <w:color w:val="000000"/>
      <w:sz w:val="22"/>
      <w:szCs w:val="22"/>
      <w:u w:val="none"/>
    </w:rPr>
  </w:style>
  <w:style w:type="character" w:customStyle="1" w:styleId="13">
    <w:name w:val="font01"/>
    <w:basedOn w:val="10"/>
    <w:qFormat/>
    <w:uiPriority w:val="0"/>
    <w:rPr>
      <w:rFonts w:hint="default" w:ascii="Times New Roman" w:hAnsi="Times New Roman" w:cs="Times New Roman"/>
      <w:b/>
      <w:color w:val="000000"/>
      <w:sz w:val="22"/>
      <w:szCs w:val="22"/>
      <w:u w:val="none"/>
    </w:rPr>
  </w:style>
  <w:style w:type="character" w:customStyle="1" w:styleId="14">
    <w:name w:val="font11"/>
    <w:basedOn w:val="10"/>
    <w:qFormat/>
    <w:uiPriority w:val="0"/>
    <w:rPr>
      <w:rFonts w:hint="eastAsia" w:ascii="宋体" w:hAnsi="宋体" w:eastAsia="宋体" w:cs="宋体"/>
      <w:color w:val="000000"/>
      <w:sz w:val="22"/>
      <w:szCs w:val="22"/>
      <w:u w:val="none"/>
    </w:rPr>
  </w:style>
  <w:style w:type="character" w:customStyle="1" w:styleId="15">
    <w:name w:val="font41"/>
    <w:basedOn w:val="10"/>
    <w:qFormat/>
    <w:uiPriority w:val="0"/>
    <w:rPr>
      <w:rFonts w:hint="default" w:ascii="Times New Roman" w:hAnsi="Times New Roman" w:cs="Times New Roman"/>
      <w:color w:val="000000"/>
      <w:sz w:val="22"/>
      <w:szCs w:val="22"/>
      <w:u w:val="none"/>
    </w:rPr>
  </w:style>
  <w:style w:type="character" w:customStyle="1" w:styleId="16">
    <w:name w:val="font91"/>
    <w:basedOn w:val="10"/>
    <w:qFormat/>
    <w:uiPriority w:val="0"/>
    <w:rPr>
      <w:rFonts w:hint="eastAsia" w:ascii="宋体" w:hAnsi="宋体" w:eastAsia="宋体" w:cs="宋体"/>
      <w:color w:val="000000"/>
      <w:sz w:val="22"/>
      <w:szCs w:val="22"/>
      <w:u w:val="none"/>
    </w:rPr>
  </w:style>
  <w:style w:type="character" w:customStyle="1" w:styleId="17">
    <w:name w:val="font51"/>
    <w:basedOn w:val="10"/>
    <w:qFormat/>
    <w:uiPriority w:val="0"/>
    <w:rPr>
      <w:rFonts w:hint="default" w:ascii="Times New Roman" w:hAnsi="Times New Roman" w:cs="Times New Roman"/>
      <w:color w:val="000000"/>
      <w:sz w:val="22"/>
      <w:szCs w:val="22"/>
      <w:u w:val="none"/>
    </w:rPr>
  </w:style>
  <w:style w:type="character" w:customStyle="1" w:styleId="18">
    <w:name w:val="font101"/>
    <w:basedOn w:val="10"/>
    <w:qFormat/>
    <w:uiPriority w:val="0"/>
    <w:rPr>
      <w:rFonts w:ascii="方正书宋_GBK" w:hAnsi="方正书宋_GBK" w:eastAsia="方正书宋_GBK" w:cs="方正书宋_GBK"/>
      <w:color w:val="000000"/>
      <w:sz w:val="22"/>
      <w:szCs w:val="22"/>
      <w:u w:val="none"/>
    </w:rPr>
  </w:style>
  <w:style w:type="character" w:customStyle="1" w:styleId="19">
    <w:name w:val="font61"/>
    <w:basedOn w:val="10"/>
    <w:qFormat/>
    <w:uiPriority w:val="0"/>
    <w:rPr>
      <w:rFonts w:hint="eastAsia" w:ascii="方正书宋_GBK" w:hAnsi="方正书宋_GBK" w:eastAsia="方正书宋_GBK" w:cs="方正书宋_GBK"/>
      <w:color w:val="000000"/>
      <w:sz w:val="22"/>
      <w:szCs w:val="22"/>
      <w:u w:val="none"/>
    </w:rPr>
  </w:style>
  <w:style w:type="character" w:customStyle="1" w:styleId="20">
    <w:name w:val="font71"/>
    <w:basedOn w:val="10"/>
    <w:qFormat/>
    <w:uiPriority w:val="0"/>
    <w:rPr>
      <w:rFonts w:hint="default" w:ascii="Times New Roman" w:hAnsi="Times New Roman" w:cs="Times New Roman"/>
      <w:b/>
      <w:color w:val="000000"/>
      <w:sz w:val="22"/>
      <w:szCs w:val="22"/>
      <w:u w:val="none"/>
    </w:rPr>
  </w:style>
  <w:style w:type="character" w:customStyle="1" w:styleId="21">
    <w:name w:val="font31"/>
    <w:basedOn w:val="10"/>
    <w:qFormat/>
    <w:uiPriority w:val="0"/>
    <w:rPr>
      <w:rFonts w:hint="default" w:ascii="Times New Roman" w:hAnsi="Times New Roman" w:cs="Times New Roman"/>
      <w:color w:val="000000"/>
      <w:sz w:val="22"/>
      <w:szCs w:val="22"/>
      <w:u w:val="none"/>
    </w:rPr>
  </w:style>
  <w:style w:type="character" w:customStyle="1" w:styleId="22">
    <w:name w:val="font21"/>
    <w:basedOn w:val="10"/>
    <w:qFormat/>
    <w:uiPriority w:val="0"/>
    <w:rPr>
      <w:rFonts w:hint="default" w:ascii="Times New Roman" w:hAnsi="Times New Roman" w:cs="Times New Roman"/>
      <w:color w:val="000000"/>
      <w:sz w:val="22"/>
      <w:szCs w:val="22"/>
      <w:u w:val="none"/>
    </w:rPr>
  </w:style>
  <w:style w:type="character" w:customStyle="1" w:styleId="23">
    <w:name w:val="font111"/>
    <w:basedOn w:val="10"/>
    <w:qFormat/>
    <w:uiPriority w:val="0"/>
    <w:rPr>
      <w:rFonts w:hint="eastAsia" w:ascii="宋体" w:hAnsi="宋体" w:eastAsia="宋体" w:cs="宋体"/>
      <w:color w:val="000000"/>
      <w:sz w:val="22"/>
      <w:szCs w:val="22"/>
      <w:u w:val="none"/>
    </w:rPr>
  </w:style>
  <w:style w:type="paragraph" w:customStyle="1" w:styleId="2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31754</Words>
  <Characters>32366</Characters>
  <Lines>0</Lines>
  <Paragraphs>0</Paragraphs>
  <TotalTime>12</TotalTime>
  <ScaleCrop>false</ScaleCrop>
  <LinksUpToDate>false</LinksUpToDate>
  <CharactersWithSpaces>32641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2022-11-27T14:11:00Z</dcterms:created>
  <dc:creator>Administrator</dc:creator>
  <cp:lastModifiedBy>ltq</cp:lastModifiedBy>
  <cp:lastPrinted>2023-10-11T01:21:00Z</cp:lastPrinted>
  <dcterms:modified xsi:type="dcterms:W3CDTF">2023-10-16T12:04:19Z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CCD2D16F46F3947223F313653E07904A</vt:lpwstr>
  </property>
</Properties>
</file>